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0F5A" w14:textId="77777777" w:rsidR="00D77D9A" w:rsidRPr="00F40E54" w:rsidRDefault="00D77D9A" w:rsidP="00D77D9A">
      <w:pPr>
        <w:spacing w:after="0" w:line="360" w:lineRule="auto"/>
        <w:jc w:val="right"/>
        <w:rPr>
          <w:rStyle w:val="BookTitle"/>
          <w:rFonts w:asciiTheme="majorHAnsi" w:hAnsiTheme="majorHAnsi"/>
          <w:sz w:val="28"/>
          <w:szCs w:val="28"/>
        </w:rPr>
      </w:pPr>
      <w:r w:rsidRPr="00F40E54">
        <w:rPr>
          <w:rStyle w:val="BookTitle"/>
          <w:rFonts w:asciiTheme="majorHAnsi" w:hAnsiTheme="majorHAnsi"/>
          <w:sz w:val="28"/>
          <w:szCs w:val="28"/>
        </w:rPr>
        <w:t xml:space="preserve">Nicola Watson </w:t>
      </w:r>
    </w:p>
    <w:p w14:paraId="67256EF0" w14:textId="77777777" w:rsidR="00D77D9A" w:rsidRPr="00F40E54" w:rsidRDefault="00D77D9A" w:rsidP="00D77D9A">
      <w:pPr>
        <w:spacing w:after="0" w:line="360" w:lineRule="auto"/>
        <w:jc w:val="right"/>
        <w:rPr>
          <w:rStyle w:val="BookTitle"/>
          <w:rFonts w:asciiTheme="majorHAnsi" w:hAnsiTheme="majorHAnsi"/>
          <w:sz w:val="28"/>
          <w:szCs w:val="28"/>
        </w:rPr>
      </w:pPr>
    </w:p>
    <w:p w14:paraId="334A1A67" w14:textId="42D7AD70" w:rsidR="00C22E05" w:rsidRPr="00F40E54" w:rsidRDefault="00C22E05" w:rsidP="00D77D9A">
      <w:pPr>
        <w:spacing w:after="0" w:line="360" w:lineRule="auto"/>
        <w:rPr>
          <w:rStyle w:val="BookTitle"/>
          <w:rFonts w:asciiTheme="majorHAnsi" w:hAnsiTheme="majorHAnsi"/>
          <w:sz w:val="28"/>
          <w:szCs w:val="28"/>
        </w:rPr>
      </w:pPr>
      <w:r w:rsidRPr="00F40E54">
        <w:rPr>
          <w:rStyle w:val="BookTitle"/>
          <w:rFonts w:asciiTheme="majorHAnsi" w:hAnsiTheme="majorHAnsi"/>
          <w:sz w:val="28"/>
          <w:szCs w:val="28"/>
        </w:rPr>
        <w:t>LOOKING FOR TROUBLE: CAN EDUCATORS FACILITATE LEARNERS’ SOCIAL DEVELOPMENT DURING CONFLICTS BETWEEN PEERS?</w:t>
      </w:r>
    </w:p>
    <w:p w14:paraId="334A1A68" w14:textId="77777777" w:rsidR="00C22E05" w:rsidRPr="00F40E54" w:rsidRDefault="00C22E05" w:rsidP="00D77D9A">
      <w:pPr>
        <w:spacing w:line="360" w:lineRule="auto"/>
        <w:jc w:val="center"/>
        <w:rPr>
          <w:rStyle w:val="BookTitle"/>
          <w:rFonts w:asciiTheme="majorHAnsi" w:hAnsiTheme="majorHAnsi"/>
          <w:b w:val="0"/>
          <w:sz w:val="28"/>
          <w:szCs w:val="28"/>
        </w:rPr>
      </w:pPr>
      <w:r w:rsidRPr="00F40E54">
        <w:rPr>
          <w:rStyle w:val="BookTitle"/>
          <w:rFonts w:asciiTheme="majorHAnsi" w:hAnsiTheme="majorHAnsi"/>
          <w:sz w:val="28"/>
          <w:szCs w:val="28"/>
        </w:rPr>
        <w:t>Making use of teachable moments in an early years setting</w:t>
      </w:r>
    </w:p>
    <w:p w14:paraId="0F645F90" w14:textId="77777777" w:rsidR="00D77D9A" w:rsidRPr="00F40E54" w:rsidRDefault="00D77D9A" w:rsidP="00D77D9A">
      <w:pPr>
        <w:spacing w:line="360" w:lineRule="auto"/>
        <w:rPr>
          <w:rFonts w:asciiTheme="majorHAnsi" w:eastAsia="Calibri" w:hAnsiTheme="majorHAnsi" w:cs="Arial"/>
          <w:b/>
          <w:sz w:val="28"/>
          <w:szCs w:val="28"/>
        </w:rPr>
      </w:pPr>
      <w:r w:rsidRPr="00F40E54">
        <w:rPr>
          <w:rFonts w:asciiTheme="majorHAnsi" w:eastAsia="Calibri" w:hAnsiTheme="majorHAnsi" w:cs="Arial"/>
          <w:b/>
          <w:sz w:val="28"/>
          <w:szCs w:val="28"/>
        </w:rPr>
        <w:t>Introduction</w:t>
      </w:r>
    </w:p>
    <w:p w14:paraId="01AF3D89" w14:textId="47DBAF24" w:rsidR="003F5DAE" w:rsidRPr="00F40E54" w:rsidRDefault="003F5DAE" w:rsidP="00D77D9A">
      <w:pPr>
        <w:spacing w:line="360" w:lineRule="auto"/>
        <w:rPr>
          <w:rFonts w:asciiTheme="majorHAnsi" w:eastAsia="Calibri" w:hAnsiTheme="majorHAnsi" w:cs="Arial"/>
          <w:sz w:val="24"/>
          <w:szCs w:val="24"/>
        </w:rPr>
      </w:pPr>
      <w:r w:rsidRPr="00F40E54">
        <w:rPr>
          <w:rFonts w:asciiTheme="majorHAnsi" w:eastAsia="Calibri" w:hAnsiTheme="majorHAnsi" w:cs="Arial"/>
          <w:sz w:val="24"/>
          <w:szCs w:val="24"/>
        </w:rPr>
        <w:t>This small scale research project was</w:t>
      </w:r>
      <w:r w:rsidR="00D77D9A" w:rsidRPr="00F40E54">
        <w:rPr>
          <w:rFonts w:asciiTheme="majorHAnsi" w:eastAsia="Calibri" w:hAnsiTheme="majorHAnsi" w:cs="Arial"/>
          <w:sz w:val="24"/>
          <w:szCs w:val="24"/>
        </w:rPr>
        <w:t xml:space="preserve"> carri</w:t>
      </w:r>
      <w:r w:rsidR="00C04537" w:rsidRPr="00F40E54">
        <w:rPr>
          <w:rFonts w:asciiTheme="majorHAnsi" w:eastAsia="Calibri" w:hAnsiTheme="majorHAnsi" w:cs="Arial"/>
          <w:sz w:val="24"/>
          <w:szCs w:val="24"/>
        </w:rPr>
        <w:t>ed out in 2013 and constituted my</w:t>
      </w:r>
      <w:r w:rsidR="00D77D9A" w:rsidRPr="00F40E54">
        <w:rPr>
          <w:rFonts w:asciiTheme="majorHAnsi" w:eastAsia="Calibri" w:hAnsiTheme="majorHAnsi" w:cs="Arial"/>
          <w:sz w:val="24"/>
          <w:szCs w:val="24"/>
        </w:rPr>
        <w:t xml:space="preserve"> dissertation </w:t>
      </w:r>
      <w:r w:rsidRPr="00F40E54">
        <w:rPr>
          <w:rFonts w:asciiTheme="majorHAnsi" w:eastAsia="Calibri" w:hAnsiTheme="majorHAnsi" w:cs="Arial"/>
          <w:sz w:val="24"/>
          <w:szCs w:val="24"/>
        </w:rPr>
        <w:t>for an M.A. in Early Childhood Education at the University of Sheffi</w:t>
      </w:r>
      <w:r w:rsidR="00F868C9" w:rsidRPr="00F40E54">
        <w:rPr>
          <w:rFonts w:asciiTheme="majorHAnsi" w:eastAsia="Calibri" w:hAnsiTheme="majorHAnsi" w:cs="Arial"/>
          <w:sz w:val="24"/>
          <w:szCs w:val="24"/>
        </w:rPr>
        <w:t>eld. It concerned educators’</w:t>
      </w:r>
      <w:r w:rsidRPr="00F40E54">
        <w:rPr>
          <w:rFonts w:asciiTheme="majorHAnsi" w:eastAsia="Calibri" w:hAnsiTheme="majorHAnsi" w:cs="Arial"/>
          <w:sz w:val="24"/>
          <w:szCs w:val="24"/>
        </w:rPr>
        <w:t xml:space="preserve"> responses to conflicts betwe</w:t>
      </w:r>
      <w:r w:rsidR="00F868C9" w:rsidRPr="00F40E54">
        <w:rPr>
          <w:rFonts w:asciiTheme="majorHAnsi" w:eastAsia="Calibri" w:hAnsiTheme="majorHAnsi" w:cs="Arial"/>
          <w:sz w:val="24"/>
          <w:szCs w:val="24"/>
        </w:rPr>
        <w:t xml:space="preserve">en peers aged three to five </w:t>
      </w:r>
      <w:r w:rsidR="00FD27B6" w:rsidRPr="00F40E54">
        <w:rPr>
          <w:rFonts w:asciiTheme="majorHAnsi" w:eastAsia="Calibri" w:hAnsiTheme="majorHAnsi" w:cs="Arial"/>
          <w:sz w:val="24"/>
          <w:szCs w:val="24"/>
        </w:rPr>
        <w:t xml:space="preserve">in an independent school </w:t>
      </w:r>
      <w:r w:rsidRPr="00F40E54">
        <w:rPr>
          <w:rFonts w:asciiTheme="majorHAnsi" w:eastAsia="Calibri" w:hAnsiTheme="majorHAnsi" w:cs="Arial"/>
          <w:sz w:val="24"/>
          <w:szCs w:val="24"/>
        </w:rPr>
        <w:t>in central England.  I was the lead of three EYFS practitioners</w:t>
      </w:r>
      <w:r w:rsidR="00F868C9" w:rsidRPr="00F40E54">
        <w:rPr>
          <w:rFonts w:asciiTheme="majorHAnsi" w:eastAsia="Calibri" w:hAnsiTheme="majorHAnsi" w:cs="Arial"/>
          <w:sz w:val="24"/>
          <w:szCs w:val="24"/>
        </w:rPr>
        <w:t xml:space="preserve"> who took part in the study</w:t>
      </w:r>
      <w:r w:rsidRPr="00F40E54">
        <w:rPr>
          <w:rFonts w:asciiTheme="majorHAnsi" w:eastAsia="Calibri" w:hAnsiTheme="majorHAnsi" w:cs="Arial"/>
          <w:sz w:val="24"/>
          <w:szCs w:val="24"/>
        </w:rPr>
        <w:t xml:space="preserve"> </w:t>
      </w:r>
      <w:r w:rsidR="00F868C9" w:rsidRPr="00F40E54">
        <w:rPr>
          <w:rFonts w:asciiTheme="majorHAnsi" w:eastAsia="Calibri" w:hAnsiTheme="majorHAnsi" w:cs="Arial"/>
          <w:sz w:val="24"/>
          <w:szCs w:val="24"/>
        </w:rPr>
        <w:t xml:space="preserve">and who managed a cohort of eighteen children. </w:t>
      </w:r>
    </w:p>
    <w:p w14:paraId="3AD85AE1" w14:textId="7C2C7EF5" w:rsidR="003F5DAE" w:rsidRPr="00F40E54" w:rsidRDefault="00D77D9A" w:rsidP="00D77D9A">
      <w:pPr>
        <w:spacing w:line="360" w:lineRule="auto"/>
        <w:rPr>
          <w:rFonts w:asciiTheme="majorHAnsi" w:eastAsia="Calibri" w:hAnsiTheme="majorHAnsi" w:cs="Arial"/>
          <w:sz w:val="24"/>
          <w:szCs w:val="24"/>
        </w:rPr>
      </w:pPr>
      <w:r w:rsidRPr="00F40E54">
        <w:rPr>
          <w:rFonts w:asciiTheme="majorHAnsi" w:eastAsia="Calibri" w:hAnsiTheme="majorHAnsi" w:cs="Arial"/>
          <w:sz w:val="24"/>
          <w:szCs w:val="24"/>
        </w:rPr>
        <w:t>The major tenet upon which the study wa</w:t>
      </w:r>
      <w:r w:rsidR="00C04537" w:rsidRPr="00F40E54">
        <w:rPr>
          <w:rFonts w:asciiTheme="majorHAnsi" w:eastAsia="Calibri" w:hAnsiTheme="majorHAnsi" w:cs="Arial"/>
          <w:sz w:val="24"/>
          <w:szCs w:val="24"/>
        </w:rPr>
        <w:t xml:space="preserve">s based </w:t>
      </w:r>
      <w:r w:rsidR="00F868C9" w:rsidRPr="00F40E54">
        <w:rPr>
          <w:rFonts w:asciiTheme="majorHAnsi" w:eastAsia="Calibri" w:hAnsiTheme="majorHAnsi" w:cs="Arial"/>
          <w:sz w:val="24"/>
          <w:szCs w:val="24"/>
        </w:rPr>
        <w:t>w</w:t>
      </w:r>
      <w:r w:rsidR="00C04537" w:rsidRPr="00F40E54">
        <w:rPr>
          <w:rFonts w:asciiTheme="majorHAnsi" w:eastAsia="Calibri" w:hAnsiTheme="majorHAnsi" w:cs="Arial"/>
          <w:sz w:val="24"/>
          <w:szCs w:val="24"/>
        </w:rPr>
        <w:t>as</w:t>
      </w:r>
      <w:r w:rsidR="003F5DAE" w:rsidRPr="00F40E54">
        <w:rPr>
          <w:rFonts w:asciiTheme="majorHAnsi" w:eastAsia="Calibri" w:hAnsiTheme="majorHAnsi" w:cs="Arial"/>
          <w:sz w:val="24"/>
          <w:szCs w:val="24"/>
        </w:rPr>
        <w:t xml:space="preserve"> that incidents of conflict between peers offer significant learning opportunities</w:t>
      </w:r>
      <w:r w:rsidR="00FD27B6" w:rsidRPr="00F40E54">
        <w:rPr>
          <w:rFonts w:asciiTheme="majorHAnsi" w:eastAsia="Calibri" w:hAnsiTheme="majorHAnsi" w:cs="Arial"/>
          <w:sz w:val="24"/>
          <w:szCs w:val="24"/>
        </w:rPr>
        <w:t xml:space="preserve"> for them </w:t>
      </w:r>
      <w:r w:rsidR="003F5DAE" w:rsidRPr="00F40E54">
        <w:rPr>
          <w:rFonts w:asciiTheme="majorHAnsi" w:eastAsia="Calibri" w:hAnsiTheme="majorHAnsi" w:cs="Arial"/>
          <w:sz w:val="24"/>
          <w:szCs w:val="24"/>
        </w:rPr>
        <w:t>in the social and emotional domains</w:t>
      </w:r>
      <w:r w:rsidRPr="00F40E54">
        <w:rPr>
          <w:rFonts w:asciiTheme="majorHAnsi" w:eastAsia="Calibri" w:hAnsiTheme="majorHAnsi" w:cs="Arial"/>
          <w:sz w:val="24"/>
          <w:szCs w:val="24"/>
        </w:rPr>
        <w:t>.</w:t>
      </w:r>
    </w:p>
    <w:p w14:paraId="3FD5B23A" w14:textId="2F0A8EA2" w:rsidR="00975045" w:rsidRPr="00F40E54" w:rsidRDefault="008A2AC6" w:rsidP="00D77D9A">
      <w:pPr>
        <w:spacing w:line="360" w:lineRule="auto"/>
        <w:rPr>
          <w:rFonts w:asciiTheme="majorHAnsi" w:eastAsia="Calibri" w:hAnsiTheme="majorHAnsi" w:cs="Arial"/>
          <w:b/>
          <w:color w:val="000000" w:themeColor="text1"/>
          <w:sz w:val="28"/>
          <w:szCs w:val="28"/>
        </w:rPr>
      </w:pPr>
      <w:r w:rsidRPr="00F40E54">
        <w:rPr>
          <w:rFonts w:asciiTheme="majorHAnsi" w:eastAsia="Calibri" w:hAnsiTheme="majorHAnsi" w:cs="Arial"/>
          <w:b/>
          <w:color w:val="000000" w:themeColor="text1"/>
          <w:sz w:val="28"/>
          <w:szCs w:val="28"/>
        </w:rPr>
        <w:t xml:space="preserve">Context </w:t>
      </w:r>
    </w:p>
    <w:p w14:paraId="132D3A55" w14:textId="6F0C264D" w:rsidR="00FA2B24" w:rsidRPr="00F40E54" w:rsidRDefault="003F5DAE" w:rsidP="00D77D9A">
      <w:pPr>
        <w:spacing w:line="360" w:lineRule="auto"/>
        <w:rPr>
          <w:rFonts w:asciiTheme="majorHAnsi" w:eastAsia="Calibri" w:hAnsiTheme="majorHAnsi" w:cs="Arial"/>
          <w:sz w:val="24"/>
          <w:szCs w:val="24"/>
        </w:rPr>
      </w:pPr>
      <w:r w:rsidRPr="00F40E54">
        <w:rPr>
          <w:rFonts w:asciiTheme="majorHAnsi" w:eastAsia="Calibri" w:hAnsiTheme="majorHAnsi" w:cs="Arial"/>
          <w:sz w:val="24"/>
          <w:szCs w:val="24"/>
        </w:rPr>
        <w:t>My inte</w:t>
      </w:r>
      <w:r w:rsidR="00D77D9A" w:rsidRPr="00F40E54">
        <w:rPr>
          <w:rFonts w:asciiTheme="majorHAnsi" w:eastAsia="Calibri" w:hAnsiTheme="majorHAnsi" w:cs="Arial"/>
          <w:sz w:val="24"/>
          <w:szCs w:val="24"/>
        </w:rPr>
        <w:t>rest in conflict stemmed from previous</w:t>
      </w:r>
      <w:r w:rsidRPr="00F40E54">
        <w:rPr>
          <w:rFonts w:asciiTheme="majorHAnsi" w:eastAsia="Calibri" w:hAnsiTheme="majorHAnsi" w:cs="Arial"/>
          <w:sz w:val="24"/>
          <w:szCs w:val="24"/>
        </w:rPr>
        <w:t xml:space="preserve"> professional experience as a lawyer mediator</w:t>
      </w:r>
      <w:r w:rsidR="00FD27B6" w:rsidRPr="00F40E54">
        <w:rPr>
          <w:rFonts w:asciiTheme="majorHAnsi" w:eastAsia="Calibri" w:hAnsiTheme="majorHAnsi" w:cs="Arial"/>
          <w:sz w:val="24"/>
          <w:szCs w:val="24"/>
        </w:rPr>
        <w:t xml:space="preserve"> working with adu</w:t>
      </w:r>
      <w:r w:rsidR="00D16504" w:rsidRPr="00F40E54">
        <w:rPr>
          <w:rFonts w:asciiTheme="majorHAnsi" w:eastAsia="Calibri" w:hAnsiTheme="majorHAnsi" w:cs="Arial"/>
          <w:sz w:val="24"/>
          <w:szCs w:val="24"/>
        </w:rPr>
        <w:t>l</w:t>
      </w:r>
      <w:r w:rsidR="00FD27B6" w:rsidRPr="00F40E54">
        <w:rPr>
          <w:rFonts w:asciiTheme="majorHAnsi" w:eastAsia="Calibri" w:hAnsiTheme="majorHAnsi" w:cs="Arial"/>
          <w:sz w:val="24"/>
          <w:szCs w:val="24"/>
        </w:rPr>
        <w:t>ts</w:t>
      </w:r>
      <w:r w:rsidRPr="00F40E54">
        <w:rPr>
          <w:rFonts w:asciiTheme="majorHAnsi" w:eastAsia="Calibri" w:hAnsiTheme="majorHAnsi" w:cs="Arial"/>
          <w:sz w:val="24"/>
          <w:szCs w:val="24"/>
        </w:rPr>
        <w:t>. Me</w:t>
      </w:r>
      <w:r w:rsidR="00F868C9" w:rsidRPr="00F40E54">
        <w:rPr>
          <w:rFonts w:asciiTheme="majorHAnsi" w:eastAsia="Calibri" w:hAnsiTheme="majorHAnsi" w:cs="Arial"/>
          <w:sz w:val="24"/>
          <w:szCs w:val="24"/>
        </w:rPr>
        <w:t>diation is a form of</w:t>
      </w:r>
      <w:r w:rsidRPr="00F40E54">
        <w:rPr>
          <w:rFonts w:asciiTheme="majorHAnsi" w:eastAsia="Calibri" w:hAnsiTheme="majorHAnsi" w:cs="Arial"/>
          <w:sz w:val="24"/>
          <w:szCs w:val="24"/>
        </w:rPr>
        <w:t xml:space="preserve"> dispute resolution whereby the mediator</w:t>
      </w:r>
      <w:r w:rsidR="00F868C9" w:rsidRPr="00F40E54">
        <w:rPr>
          <w:rFonts w:asciiTheme="majorHAnsi" w:eastAsia="Calibri" w:hAnsiTheme="majorHAnsi" w:cs="Arial"/>
          <w:sz w:val="24"/>
          <w:szCs w:val="24"/>
        </w:rPr>
        <w:t xml:space="preserve"> acts impartially, facilitating constructive</w:t>
      </w:r>
      <w:r w:rsidRPr="00F40E54">
        <w:rPr>
          <w:rFonts w:asciiTheme="majorHAnsi" w:eastAsia="Calibri" w:hAnsiTheme="majorHAnsi" w:cs="Arial"/>
          <w:sz w:val="24"/>
          <w:szCs w:val="24"/>
        </w:rPr>
        <w:t xml:space="preserve"> dialogue and</w:t>
      </w:r>
      <w:r w:rsidR="00F868C9" w:rsidRPr="00F40E54">
        <w:rPr>
          <w:rFonts w:asciiTheme="majorHAnsi" w:eastAsia="Calibri" w:hAnsiTheme="majorHAnsi" w:cs="Arial"/>
          <w:sz w:val="24"/>
          <w:szCs w:val="24"/>
        </w:rPr>
        <w:t xml:space="preserve"> managing</w:t>
      </w:r>
      <w:r w:rsidRPr="00F40E54">
        <w:rPr>
          <w:rFonts w:asciiTheme="majorHAnsi" w:eastAsia="Calibri" w:hAnsiTheme="majorHAnsi" w:cs="Arial"/>
          <w:sz w:val="24"/>
          <w:szCs w:val="24"/>
        </w:rPr>
        <w:t xml:space="preserve"> power imbalances between </w:t>
      </w:r>
      <w:r w:rsidR="00D77D9A" w:rsidRPr="00F40E54">
        <w:rPr>
          <w:rFonts w:asciiTheme="majorHAnsi" w:eastAsia="Calibri" w:hAnsiTheme="majorHAnsi" w:cs="Arial"/>
          <w:sz w:val="24"/>
          <w:szCs w:val="24"/>
        </w:rPr>
        <w:t xml:space="preserve">the </w:t>
      </w:r>
      <w:r w:rsidRPr="00F40E54">
        <w:rPr>
          <w:rFonts w:asciiTheme="majorHAnsi" w:eastAsia="Calibri" w:hAnsiTheme="majorHAnsi" w:cs="Arial"/>
          <w:sz w:val="24"/>
          <w:szCs w:val="24"/>
        </w:rPr>
        <w:t>parties in dispute</w:t>
      </w:r>
      <w:r w:rsidR="00F868C9" w:rsidRPr="00F40E54">
        <w:rPr>
          <w:rFonts w:asciiTheme="majorHAnsi" w:eastAsia="Calibri" w:hAnsiTheme="majorHAnsi" w:cs="Arial"/>
          <w:sz w:val="24"/>
          <w:szCs w:val="24"/>
        </w:rPr>
        <w:t>.</w:t>
      </w:r>
      <w:r w:rsidRPr="00F40E54">
        <w:rPr>
          <w:rFonts w:asciiTheme="majorHAnsi" w:eastAsia="Calibri" w:hAnsiTheme="majorHAnsi" w:cs="Arial"/>
          <w:sz w:val="24"/>
          <w:szCs w:val="24"/>
        </w:rPr>
        <w:t xml:space="preserve"> A fundamental principle of mediation practice is that the ownership of the proces</w:t>
      </w:r>
      <w:r w:rsidR="00D77D9A" w:rsidRPr="00F40E54">
        <w:rPr>
          <w:rFonts w:asciiTheme="majorHAnsi" w:eastAsia="Calibri" w:hAnsiTheme="majorHAnsi" w:cs="Arial"/>
          <w:sz w:val="24"/>
          <w:szCs w:val="24"/>
        </w:rPr>
        <w:t xml:space="preserve">s is retained by the parties. </w:t>
      </w:r>
      <w:r w:rsidRPr="00F40E54">
        <w:rPr>
          <w:rFonts w:asciiTheme="majorHAnsi" w:eastAsia="Calibri" w:hAnsiTheme="majorHAnsi" w:cs="Arial"/>
          <w:sz w:val="24"/>
          <w:szCs w:val="24"/>
        </w:rPr>
        <w:t xml:space="preserve">As a mediator, I was able to witness first-hand </w:t>
      </w:r>
      <w:r w:rsidR="00D77D9A" w:rsidRPr="00F40E54">
        <w:rPr>
          <w:rFonts w:asciiTheme="majorHAnsi" w:eastAsia="Calibri" w:hAnsiTheme="majorHAnsi" w:cs="Arial"/>
          <w:sz w:val="24"/>
          <w:szCs w:val="24"/>
        </w:rPr>
        <w:t xml:space="preserve">what I perceived as </w:t>
      </w:r>
      <w:r w:rsidRPr="00F40E54">
        <w:rPr>
          <w:rFonts w:asciiTheme="majorHAnsi" w:eastAsia="Calibri" w:hAnsiTheme="majorHAnsi" w:cs="Arial"/>
          <w:sz w:val="24"/>
          <w:szCs w:val="24"/>
        </w:rPr>
        <w:t>benefit</w:t>
      </w:r>
      <w:r w:rsidR="00D77D9A" w:rsidRPr="00F40E54">
        <w:rPr>
          <w:rFonts w:asciiTheme="majorHAnsi" w:eastAsia="Calibri" w:hAnsiTheme="majorHAnsi" w:cs="Arial"/>
          <w:sz w:val="24"/>
          <w:szCs w:val="24"/>
        </w:rPr>
        <w:t>s</w:t>
      </w:r>
      <w:r w:rsidRPr="00F40E54">
        <w:rPr>
          <w:rFonts w:asciiTheme="majorHAnsi" w:eastAsia="Calibri" w:hAnsiTheme="majorHAnsi" w:cs="Arial"/>
          <w:sz w:val="24"/>
          <w:szCs w:val="24"/>
        </w:rPr>
        <w:t xml:space="preserve"> in terms of personal growth and improved communication skills to the parties involved, irrespective of their </w:t>
      </w:r>
      <w:r w:rsidR="00C04537" w:rsidRPr="00F40E54">
        <w:rPr>
          <w:rFonts w:asciiTheme="majorHAnsi" w:eastAsia="Calibri" w:hAnsiTheme="majorHAnsi" w:cs="Arial"/>
          <w:sz w:val="24"/>
          <w:szCs w:val="24"/>
        </w:rPr>
        <w:t>age</w:t>
      </w:r>
      <w:r w:rsidR="00F868C9" w:rsidRPr="00F40E54">
        <w:rPr>
          <w:rFonts w:asciiTheme="majorHAnsi" w:eastAsia="Calibri" w:hAnsiTheme="majorHAnsi" w:cs="Arial"/>
          <w:sz w:val="24"/>
          <w:szCs w:val="24"/>
        </w:rPr>
        <w:t>s</w:t>
      </w:r>
      <w:r w:rsidR="00C04537" w:rsidRPr="00F40E54">
        <w:rPr>
          <w:rFonts w:asciiTheme="majorHAnsi" w:eastAsia="Calibri" w:hAnsiTheme="majorHAnsi" w:cs="Arial"/>
          <w:sz w:val="24"/>
          <w:szCs w:val="24"/>
        </w:rPr>
        <w:t xml:space="preserve">, </w:t>
      </w:r>
      <w:r w:rsidRPr="00F40E54">
        <w:rPr>
          <w:rFonts w:asciiTheme="majorHAnsi" w:eastAsia="Calibri" w:hAnsiTheme="majorHAnsi" w:cs="Arial"/>
          <w:sz w:val="24"/>
          <w:szCs w:val="24"/>
        </w:rPr>
        <w:t>level</w:t>
      </w:r>
      <w:r w:rsidR="00C04537" w:rsidRPr="00F40E54">
        <w:rPr>
          <w:rFonts w:asciiTheme="majorHAnsi" w:eastAsia="Calibri" w:hAnsiTheme="majorHAnsi" w:cs="Arial"/>
          <w:sz w:val="24"/>
          <w:szCs w:val="24"/>
        </w:rPr>
        <w:t>s</w:t>
      </w:r>
      <w:r w:rsidRPr="00F40E54">
        <w:rPr>
          <w:rFonts w:asciiTheme="majorHAnsi" w:eastAsia="Calibri" w:hAnsiTheme="majorHAnsi" w:cs="Arial"/>
          <w:sz w:val="24"/>
          <w:szCs w:val="24"/>
        </w:rPr>
        <w:t xml:space="preserve"> of education or professional standing. My experience as a mediator informed my practice a</w:t>
      </w:r>
      <w:r w:rsidR="00CA65BC" w:rsidRPr="00F40E54">
        <w:rPr>
          <w:rFonts w:asciiTheme="majorHAnsi" w:eastAsia="Calibri" w:hAnsiTheme="majorHAnsi" w:cs="Arial"/>
          <w:sz w:val="24"/>
          <w:szCs w:val="24"/>
        </w:rPr>
        <w:t>s an early childhood</w:t>
      </w:r>
      <w:r w:rsidR="00F868C9" w:rsidRPr="00F40E54">
        <w:rPr>
          <w:rFonts w:asciiTheme="majorHAnsi" w:eastAsia="Calibri" w:hAnsiTheme="majorHAnsi" w:cs="Arial"/>
          <w:sz w:val="24"/>
          <w:szCs w:val="24"/>
        </w:rPr>
        <w:t xml:space="preserve"> educator</w:t>
      </w:r>
      <w:r w:rsidR="00FA2B24" w:rsidRPr="00F40E54">
        <w:rPr>
          <w:rFonts w:asciiTheme="majorHAnsi" w:eastAsia="Calibri" w:hAnsiTheme="majorHAnsi" w:cs="Arial"/>
          <w:sz w:val="24"/>
          <w:szCs w:val="24"/>
        </w:rPr>
        <w:t xml:space="preserve"> and </w:t>
      </w:r>
      <w:r w:rsidR="00F868C9" w:rsidRPr="00F40E54">
        <w:rPr>
          <w:rFonts w:asciiTheme="majorHAnsi" w:eastAsia="Calibri" w:hAnsiTheme="majorHAnsi" w:cs="Arial"/>
          <w:sz w:val="24"/>
          <w:szCs w:val="24"/>
        </w:rPr>
        <w:t>it inspired my commitment to optimising</w:t>
      </w:r>
      <w:r w:rsidR="00FA2B24" w:rsidRPr="00F40E54">
        <w:rPr>
          <w:rFonts w:asciiTheme="majorHAnsi" w:eastAsia="Calibri" w:hAnsiTheme="majorHAnsi" w:cs="Arial"/>
          <w:sz w:val="24"/>
          <w:szCs w:val="24"/>
        </w:rPr>
        <w:t xml:space="preserve"> agency in learners.</w:t>
      </w:r>
    </w:p>
    <w:p w14:paraId="0FB39BFF" w14:textId="1CA3BEA5" w:rsidR="008A2AC6" w:rsidRPr="00F40E54" w:rsidRDefault="008A2AC6" w:rsidP="008A2AC6">
      <w:pPr>
        <w:spacing w:line="360" w:lineRule="auto"/>
        <w:rPr>
          <w:rFonts w:asciiTheme="majorHAnsi" w:hAnsiTheme="majorHAnsi"/>
          <w:b/>
          <w:sz w:val="28"/>
          <w:szCs w:val="28"/>
        </w:rPr>
      </w:pPr>
      <w:r w:rsidRPr="00F40E54">
        <w:rPr>
          <w:rFonts w:asciiTheme="majorHAnsi" w:hAnsiTheme="majorHAnsi"/>
          <w:b/>
          <w:sz w:val="28"/>
          <w:szCs w:val="28"/>
        </w:rPr>
        <w:t xml:space="preserve">Why </w:t>
      </w:r>
      <w:r w:rsidR="00FD27B6" w:rsidRPr="00F40E54">
        <w:rPr>
          <w:rFonts w:asciiTheme="majorHAnsi" w:hAnsiTheme="majorHAnsi"/>
          <w:b/>
          <w:sz w:val="28"/>
          <w:szCs w:val="28"/>
        </w:rPr>
        <w:t>a focus on s</w:t>
      </w:r>
      <w:r w:rsidRPr="00F40E54">
        <w:rPr>
          <w:rFonts w:asciiTheme="majorHAnsi" w:hAnsiTheme="majorHAnsi"/>
          <w:b/>
          <w:sz w:val="28"/>
          <w:szCs w:val="28"/>
        </w:rPr>
        <w:t>ocial development?</w:t>
      </w:r>
    </w:p>
    <w:p w14:paraId="1C588F60" w14:textId="281C5BDA" w:rsidR="008A2AC6" w:rsidRPr="00F40E54" w:rsidRDefault="008A2AC6" w:rsidP="008A2AC6">
      <w:pPr>
        <w:spacing w:line="360" w:lineRule="auto"/>
        <w:rPr>
          <w:rFonts w:asciiTheme="majorHAnsi" w:eastAsia="Calibri" w:hAnsiTheme="majorHAnsi" w:cs="Arial"/>
          <w:sz w:val="24"/>
          <w:szCs w:val="24"/>
        </w:rPr>
      </w:pPr>
      <w:r w:rsidRPr="00F40E54">
        <w:rPr>
          <w:rFonts w:asciiTheme="majorHAnsi" w:eastAsia="Calibri" w:hAnsiTheme="majorHAnsi" w:cs="Arial"/>
          <w:sz w:val="24"/>
          <w:szCs w:val="24"/>
        </w:rPr>
        <w:t xml:space="preserve">Social competence concerns the ability to forge mutually satisfying relationships with others, (Katz and McClellan, 1997; </w:t>
      </w:r>
      <w:r w:rsidR="00FD27B6" w:rsidRPr="00F40E54">
        <w:rPr>
          <w:rFonts w:asciiTheme="majorHAnsi" w:eastAsia="Calibri" w:hAnsiTheme="majorHAnsi" w:cs="Arial"/>
          <w:sz w:val="24"/>
          <w:szCs w:val="24"/>
        </w:rPr>
        <w:t xml:space="preserve">Stanton-Chapman et.al. </w:t>
      </w:r>
      <w:r w:rsidR="00F868C9" w:rsidRPr="00F40E54">
        <w:rPr>
          <w:rFonts w:asciiTheme="majorHAnsi" w:eastAsia="Calibri" w:hAnsiTheme="majorHAnsi" w:cs="Arial"/>
          <w:sz w:val="24"/>
          <w:szCs w:val="24"/>
        </w:rPr>
        <w:t>2012).</w:t>
      </w:r>
      <w:r w:rsidRPr="00F40E54">
        <w:rPr>
          <w:rFonts w:asciiTheme="majorHAnsi" w:eastAsia="Calibri" w:hAnsiTheme="majorHAnsi" w:cs="Arial"/>
          <w:sz w:val="24"/>
          <w:szCs w:val="24"/>
        </w:rPr>
        <w:t xml:space="preserve"> </w:t>
      </w:r>
      <w:r w:rsidR="00FA2B24" w:rsidRPr="00F40E54">
        <w:rPr>
          <w:rFonts w:asciiTheme="majorHAnsi" w:eastAsia="Calibri" w:hAnsiTheme="majorHAnsi" w:cs="Arial"/>
          <w:sz w:val="24"/>
          <w:szCs w:val="24"/>
        </w:rPr>
        <w:t>I</w:t>
      </w:r>
      <w:r w:rsidRPr="00F40E54">
        <w:rPr>
          <w:rFonts w:asciiTheme="majorHAnsi" w:eastAsia="Calibri" w:hAnsiTheme="majorHAnsi" w:cs="Arial"/>
          <w:sz w:val="24"/>
          <w:szCs w:val="24"/>
        </w:rPr>
        <w:t xml:space="preserve">n their meta-analysis of effective practice in the social domain </w:t>
      </w:r>
      <w:r w:rsidR="00FA2B24" w:rsidRPr="00F40E54">
        <w:rPr>
          <w:rFonts w:asciiTheme="majorHAnsi" w:eastAsia="Calibri" w:hAnsiTheme="majorHAnsi" w:cs="Arial"/>
          <w:sz w:val="24"/>
          <w:szCs w:val="24"/>
        </w:rPr>
        <w:t>Weare and Gray</w:t>
      </w:r>
      <w:r w:rsidR="00FD27B6" w:rsidRPr="00F40E54">
        <w:rPr>
          <w:rFonts w:asciiTheme="majorHAnsi" w:eastAsia="Calibri" w:hAnsiTheme="majorHAnsi" w:cs="Arial"/>
          <w:sz w:val="24"/>
          <w:szCs w:val="24"/>
        </w:rPr>
        <w:t xml:space="preserve"> (2003 p.34)</w:t>
      </w:r>
      <w:r w:rsidR="00FA2B24" w:rsidRPr="00F40E54">
        <w:rPr>
          <w:rFonts w:asciiTheme="majorHAnsi" w:eastAsia="Calibri" w:hAnsiTheme="majorHAnsi" w:cs="Arial"/>
          <w:sz w:val="24"/>
          <w:szCs w:val="24"/>
        </w:rPr>
        <w:t xml:space="preserve"> </w:t>
      </w:r>
      <w:r w:rsidRPr="00F40E54">
        <w:rPr>
          <w:rFonts w:asciiTheme="majorHAnsi" w:eastAsia="Calibri" w:hAnsiTheme="majorHAnsi" w:cs="Arial"/>
          <w:sz w:val="24"/>
          <w:szCs w:val="24"/>
        </w:rPr>
        <w:t xml:space="preserve">reported that ‘emotional and social competences have been shown to be more influential than cognitive abilities for personal, </w:t>
      </w:r>
      <w:r w:rsidR="00FD27B6" w:rsidRPr="00F40E54">
        <w:rPr>
          <w:rFonts w:asciiTheme="majorHAnsi" w:eastAsia="Calibri" w:hAnsiTheme="majorHAnsi" w:cs="Arial"/>
          <w:sz w:val="24"/>
          <w:szCs w:val="24"/>
        </w:rPr>
        <w:lastRenderedPageBreak/>
        <w:t>career and scholastic success’</w:t>
      </w:r>
      <w:r w:rsidRPr="00F40E54">
        <w:rPr>
          <w:rFonts w:asciiTheme="majorHAnsi" w:eastAsia="Calibri" w:hAnsiTheme="majorHAnsi" w:cs="Arial"/>
          <w:sz w:val="24"/>
          <w:szCs w:val="24"/>
        </w:rPr>
        <w:t xml:space="preserve">. They confirmed that focusing on developing competences should begin ‘from a very young age’ and that children ‘need to be taught in the kinds of environments that promote emotional and social competence from the start’ (p.52).  </w:t>
      </w:r>
    </w:p>
    <w:p w14:paraId="649DC66C" w14:textId="62730CAE" w:rsidR="00264297" w:rsidRPr="00F40E54" w:rsidRDefault="008A2AC6" w:rsidP="008A2AC6">
      <w:pPr>
        <w:spacing w:line="360" w:lineRule="auto"/>
        <w:rPr>
          <w:rFonts w:asciiTheme="majorHAnsi" w:eastAsia="Calibri" w:hAnsiTheme="majorHAnsi" w:cs="Times New Roman"/>
          <w:sz w:val="24"/>
          <w:szCs w:val="24"/>
        </w:rPr>
      </w:pPr>
      <w:r w:rsidRPr="00F40E54">
        <w:rPr>
          <w:rFonts w:asciiTheme="majorHAnsi" w:eastAsia="Calibri" w:hAnsiTheme="majorHAnsi" w:cs="Times New Roman"/>
          <w:sz w:val="24"/>
          <w:szCs w:val="24"/>
        </w:rPr>
        <w:t xml:space="preserve">Learners with </w:t>
      </w:r>
      <w:r w:rsidR="00264297" w:rsidRPr="00F40E54">
        <w:rPr>
          <w:rFonts w:asciiTheme="majorHAnsi" w:eastAsia="Calibri" w:hAnsiTheme="majorHAnsi" w:cs="Times New Roman"/>
          <w:sz w:val="24"/>
          <w:szCs w:val="24"/>
        </w:rPr>
        <w:t>poor social skills may</w:t>
      </w:r>
      <w:r w:rsidRPr="00F40E54">
        <w:rPr>
          <w:rFonts w:asciiTheme="majorHAnsi" w:eastAsia="Calibri" w:hAnsiTheme="majorHAnsi" w:cs="Times New Roman"/>
          <w:sz w:val="24"/>
          <w:szCs w:val="24"/>
        </w:rPr>
        <w:t xml:space="preserve"> frequently find themselves involved in conflicts, thereby risking further alienation in a cycle of unsuccessful attempts to engage with peers (Katz and McClellan 1997; </w:t>
      </w:r>
      <w:proofErr w:type="spellStart"/>
      <w:r w:rsidRPr="00F40E54">
        <w:rPr>
          <w:rFonts w:asciiTheme="majorHAnsi" w:eastAsia="Calibri" w:hAnsiTheme="majorHAnsi" w:cs="Times New Roman"/>
          <w:sz w:val="24"/>
          <w:szCs w:val="24"/>
        </w:rPr>
        <w:t>McCay</w:t>
      </w:r>
      <w:proofErr w:type="spellEnd"/>
      <w:r w:rsidRPr="00F40E54">
        <w:rPr>
          <w:rFonts w:asciiTheme="majorHAnsi" w:eastAsia="Calibri" w:hAnsiTheme="majorHAnsi" w:cs="Times New Roman"/>
          <w:sz w:val="24"/>
          <w:szCs w:val="24"/>
        </w:rPr>
        <w:t xml:space="preserve"> and Keyes 2002).</w:t>
      </w:r>
      <w:r w:rsidR="00FA2B24" w:rsidRPr="00F40E54">
        <w:rPr>
          <w:rFonts w:asciiTheme="majorHAnsi" w:eastAsia="Calibri" w:hAnsiTheme="majorHAnsi" w:cs="Times New Roman"/>
          <w:sz w:val="24"/>
          <w:szCs w:val="24"/>
        </w:rPr>
        <w:t xml:space="preserve"> </w:t>
      </w:r>
      <w:r w:rsidR="003504DB" w:rsidRPr="00F40E54">
        <w:rPr>
          <w:rFonts w:asciiTheme="majorHAnsi" w:eastAsia="Calibri" w:hAnsiTheme="majorHAnsi" w:cs="Times New Roman"/>
          <w:sz w:val="24"/>
          <w:szCs w:val="24"/>
        </w:rPr>
        <w:t>Rejection by peers limits</w:t>
      </w:r>
      <w:r w:rsidR="00264297" w:rsidRPr="00F40E54">
        <w:rPr>
          <w:rFonts w:asciiTheme="majorHAnsi" w:eastAsia="Calibri" w:hAnsiTheme="majorHAnsi" w:cs="Times New Roman"/>
          <w:sz w:val="24"/>
          <w:szCs w:val="24"/>
        </w:rPr>
        <w:t xml:space="preserve"> access to positive soci</w:t>
      </w:r>
      <w:r w:rsidR="003504DB" w:rsidRPr="00F40E54">
        <w:rPr>
          <w:rFonts w:asciiTheme="majorHAnsi" w:eastAsia="Calibri" w:hAnsiTheme="majorHAnsi" w:cs="Times New Roman"/>
          <w:sz w:val="24"/>
          <w:szCs w:val="24"/>
        </w:rPr>
        <w:t>al experiences. This in turn may</w:t>
      </w:r>
      <w:r w:rsidR="00264297" w:rsidRPr="00F40E54">
        <w:rPr>
          <w:rFonts w:asciiTheme="majorHAnsi" w:eastAsia="Calibri" w:hAnsiTheme="majorHAnsi" w:cs="Times New Roman"/>
          <w:sz w:val="24"/>
          <w:szCs w:val="24"/>
        </w:rPr>
        <w:t xml:space="preserve"> prevent rehearsal of the very skills needed to develop competences. I was keen t</w:t>
      </w:r>
      <w:r w:rsidR="00F868C9" w:rsidRPr="00F40E54">
        <w:rPr>
          <w:rFonts w:asciiTheme="majorHAnsi" w:eastAsia="Calibri" w:hAnsiTheme="majorHAnsi" w:cs="Times New Roman"/>
          <w:sz w:val="24"/>
          <w:szCs w:val="24"/>
        </w:rPr>
        <w:t>o explore whether</w:t>
      </w:r>
      <w:r w:rsidR="00FD27B6" w:rsidRPr="00F40E54">
        <w:rPr>
          <w:rFonts w:asciiTheme="majorHAnsi" w:eastAsia="Calibri" w:hAnsiTheme="majorHAnsi" w:cs="Times New Roman"/>
          <w:sz w:val="24"/>
          <w:szCs w:val="24"/>
        </w:rPr>
        <w:t>,</w:t>
      </w:r>
      <w:r w:rsidR="00F868C9" w:rsidRPr="00F40E54">
        <w:rPr>
          <w:rFonts w:asciiTheme="majorHAnsi" w:eastAsia="Calibri" w:hAnsiTheme="majorHAnsi" w:cs="Times New Roman"/>
          <w:sz w:val="24"/>
          <w:szCs w:val="24"/>
        </w:rPr>
        <w:t xml:space="preserve"> in our practice</w:t>
      </w:r>
      <w:r w:rsidR="00FD27B6" w:rsidRPr="00F40E54">
        <w:rPr>
          <w:rFonts w:asciiTheme="majorHAnsi" w:eastAsia="Calibri" w:hAnsiTheme="majorHAnsi" w:cs="Times New Roman"/>
          <w:sz w:val="24"/>
          <w:szCs w:val="24"/>
        </w:rPr>
        <w:t>,</w:t>
      </w:r>
      <w:r w:rsidR="00F868C9" w:rsidRPr="00F40E54">
        <w:rPr>
          <w:rFonts w:asciiTheme="majorHAnsi" w:eastAsia="Calibri" w:hAnsiTheme="majorHAnsi" w:cs="Times New Roman"/>
          <w:sz w:val="24"/>
          <w:szCs w:val="24"/>
        </w:rPr>
        <w:t xml:space="preserve"> we were utilising </w:t>
      </w:r>
      <w:r w:rsidR="00264297" w:rsidRPr="00F40E54">
        <w:rPr>
          <w:rFonts w:asciiTheme="majorHAnsi" w:eastAsia="Calibri" w:hAnsiTheme="majorHAnsi" w:cs="Times New Roman"/>
          <w:sz w:val="24"/>
          <w:szCs w:val="24"/>
        </w:rPr>
        <w:t xml:space="preserve">opportunities for the rehearsal of those skills necessary to forge positive relationships with peers. </w:t>
      </w:r>
    </w:p>
    <w:p w14:paraId="4FB7B7B1" w14:textId="310C005B" w:rsidR="008A2AC6" w:rsidRPr="00F40E54" w:rsidRDefault="008A2AC6" w:rsidP="008A2AC6">
      <w:pPr>
        <w:spacing w:line="360" w:lineRule="auto"/>
        <w:rPr>
          <w:rFonts w:asciiTheme="majorHAnsi" w:eastAsia="Calibri" w:hAnsiTheme="majorHAnsi" w:cs="Times New Roman"/>
          <w:b/>
          <w:sz w:val="28"/>
          <w:szCs w:val="28"/>
        </w:rPr>
      </w:pPr>
      <w:r w:rsidRPr="00F40E54">
        <w:rPr>
          <w:rFonts w:asciiTheme="majorHAnsi" w:eastAsia="Calibri" w:hAnsiTheme="majorHAnsi" w:cs="Times New Roman"/>
          <w:b/>
          <w:sz w:val="28"/>
          <w:szCs w:val="28"/>
        </w:rPr>
        <w:t xml:space="preserve">Why </w:t>
      </w:r>
      <w:r w:rsidR="00FD27B6" w:rsidRPr="00F40E54">
        <w:rPr>
          <w:rFonts w:asciiTheme="majorHAnsi" w:eastAsia="Calibri" w:hAnsiTheme="majorHAnsi" w:cs="Times New Roman"/>
          <w:b/>
          <w:sz w:val="28"/>
          <w:szCs w:val="28"/>
        </w:rPr>
        <w:t>a focus on c</w:t>
      </w:r>
      <w:r w:rsidRPr="00F40E54">
        <w:rPr>
          <w:rFonts w:asciiTheme="majorHAnsi" w:eastAsia="Calibri" w:hAnsiTheme="majorHAnsi" w:cs="Times New Roman"/>
          <w:b/>
          <w:sz w:val="28"/>
          <w:szCs w:val="28"/>
        </w:rPr>
        <w:t>onflict?</w:t>
      </w:r>
    </w:p>
    <w:p w14:paraId="63DE9B9A" w14:textId="32C96AF6" w:rsidR="006600D4" w:rsidRPr="00F40E54" w:rsidRDefault="006A47EA" w:rsidP="00B75754">
      <w:pPr>
        <w:spacing w:line="360" w:lineRule="auto"/>
        <w:rPr>
          <w:rStyle w:val="BookTitle"/>
          <w:rFonts w:asciiTheme="majorHAnsi" w:hAnsiTheme="majorHAnsi"/>
          <w:b w:val="0"/>
          <w:color w:val="FF0000"/>
          <w:sz w:val="24"/>
          <w:szCs w:val="24"/>
        </w:rPr>
      </w:pPr>
      <w:r w:rsidRPr="00F40E54">
        <w:rPr>
          <w:rFonts w:asciiTheme="majorHAnsi" w:eastAsia="Calibri" w:hAnsiTheme="majorHAnsi" w:cs="Arial"/>
          <w:sz w:val="24"/>
          <w:szCs w:val="24"/>
        </w:rPr>
        <w:t>The definition of conflict used in the study was adopted from Chen (2003</w:t>
      </w:r>
      <w:r w:rsidR="00FD27B6" w:rsidRPr="00F40E54">
        <w:rPr>
          <w:rFonts w:asciiTheme="majorHAnsi" w:eastAsia="Calibri" w:hAnsiTheme="majorHAnsi" w:cs="Arial"/>
          <w:sz w:val="24"/>
          <w:szCs w:val="24"/>
        </w:rPr>
        <w:t xml:space="preserve"> p.203</w:t>
      </w:r>
      <w:r w:rsidRPr="00F40E54">
        <w:rPr>
          <w:rFonts w:asciiTheme="majorHAnsi" w:eastAsia="Calibri" w:hAnsiTheme="majorHAnsi" w:cs="Arial"/>
          <w:sz w:val="24"/>
          <w:szCs w:val="24"/>
        </w:rPr>
        <w:t>) as where ‘a person protests, retaliates or resists</w:t>
      </w:r>
      <w:r w:rsidR="00FD27B6" w:rsidRPr="00F40E54">
        <w:rPr>
          <w:rFonts w:asciiTheme="majorHAnsi" w:eastAsia="Calibri" w:hAnsiTheme="majorHAnsi" w:cs="Arial"/>
          <w:sz w:val="24"/>
          <w:szCs w:val="24"/>
        </w:rPr>
        <w:t xml:space="preserve"> the actions of another’</w:t>
      </w:r>
      <w:r w:rsidRPr="00F40E54">
        <w:rPr>
          <w:rFonts w:asciiTheme="majorHAnsi" w:eastAsia="Calibri" w:hAnsiTheme="majorHAnsi" w:cs="Arial"/>
          <w:sz w:val="24"/>
          <w:szCs w:val="24"/>
        </w:rPr>
        <w:t xml:space="preserve">.  </w:t>
      </w:r>
      <w:r w:rsidR="008A2AC6" w:rsidRPr="00F40E54">
        <w:rPr>
          <w:rFonts w:asciiTheme="majorHAnsi" w:eastAsia="Calibri" w:hAnsiTheme="majorHAnsi" w:cs="Arial"/>
          <w:sz w:val="24"/>
          <w:szCs w:val="24"/>
        </w:rPr>
        <w:t>Conflict is inevitable wherever there is human interaction (</w:t>
      </w:r>
      <w:proofErr w:type="spellStart"/>
      <w:r w:rsidR="008A2AC6" w:rsidRPr="00F40E54">
        <w:rPr>
          <w:rFonts w:asciiTheme="majorHAnsi" w:eastAsia="Calibri" w:hAnsiTheme="majorHAnsi" w:cs="Arial"/>
          <w:sz w:val="24"/>
          <w:szCs w:val="24"/>
        </w:rPr>
        <w:t>DeVries</w:t>
      </w:r>
      <w:proofErr w:type="spellEnd"/>
      <w:r w:rsidR="008A2AC6" w:rsidRPr="00F40E54">
        <w:rPr>
          <w:rFonts w:asciiTheme="majorHAnsi" w:eastAsia="Calibri" w:hAnsiTheme="majorHAnsi" w:cs="Arial"/>
          <w:sz w:val="24"/>
          <w:szCs w:val="24"/>
        </w:rPr>
        <w:t xml:space="preserve"> and </w:t>
      </w:r>
      <w:proofErr w:type="spellStart"/>
      <w:r w:rsidR="008A2AC6" w:rsidRPr="00F40E54">
        <w:rPr>
          <w:rFonts w:asciiTheme="majorHAnsi" w:eastAsia="Calibri" w:hAnsiTheme="majorHAnsi" w:cs="Arial"/>
          <w:sz w:val="24"/>
          <w:szCs w:val="24"/>
        </w:rPr>
        <w:t>Zan</w:t>
      </w:r>
      <w:proofErr w:type="spellEnd"/>
      <w:r w:rsidR="00AC1554" w:rsidRPr="00F40E54">
        <w:rPr>
          <w:rFonts w:asciiTheme="majorHAnsi" w:eastAsia="Calibri" w:hAnsiTheme="majorHAnsi" w:cs="Arial"/>
          <w:sz w:val="24"/>
          <w:szCs w:val="24"/>
        </w:rPr>
        <w:t>,</w:t>
      </w:r>
      <w:r w:rsidR="008A2AC6" w:rsidRPr="00F40E54">
        <w:rPr>
          <w:rFonts w:asciiTheme="majorHAnsi" w:eastAsia="Calibri" w:hAnsiTheme="majorHAnsi" w:cs="Arial"/>
          <w:sz w:val="24"/>
          <w:szCs w:val="24"/>
        </w:rPr>
        <w:t xml:space="preserve"> 1994). </w:t>
      </w:r>
      <w:r w:rsidR="00F70A55" w:rsidRPr="00F40E54">
        <w:rPr>
          <w:rFonts w:asciiTheme="majorHAnsi" w:eastAsia="Calibri" w:hAnsiTheme="majorHAnsi" w:cs="Arial"/>
          <w:sz w:val="24"/>
          <w:szCs w:val="24"/>
        </w:rPr>
        <w:t>I</w:t>
      </w:r>
      <w:r w:rsidR="008A2AC6" w:rsidRPr="00F40E54">
        <w:rPr>
          <w:rFonts w:asciiTheme="majorHAnsi" w:eastAsia="Calibri" w:hAnsiTheme="majorHAnsi" w:cs="Arial"/>
          <w:sz w:val="24"/>
          <w:szCs w:val="24"/>
        </w:rPr>
        <w:t xml:space="preserve">t </w:t>
      </w:r>
      <w:r w:rsidR="00264297" w:rsidRPr="00F40E54">
        <w:rPr>
          <w:rFonts w:asciiTheme="majorHAnsi" w:eastAsia="Calibri" w:hAnsiTheme="majorHAnsi" w:cs="Arial"/>
          <w:sz w:val="24"/>
          <w:szCs w:val="24"/>
        </w:rPr>
        <w:t xml:space="preserve">is often perceived </w:t>
      </w:r>
      <w:r w:rsidR="00F70A55" w:rsidRPr="00F40E54">
        <w:rPr>
          <w:rFonts w:asciiTheme="majorHAnsi" w:eastAsia="Calibri" w:hAnsiTheme="majorHAnsi" w:cs="Arial"/>
          <w:sz w:val="24"/>
          <w:szCs w:val="24"/>
        </w:rPr>
        <w:t xml:space="preserve">as intrinsically negative, to be avoided if possible and apprehended at the first opportunity. </w:t>
      </w:r>
      <w:r w:rsidR="008A2AC6" w:rsidRPr="00F40E54">
        <w:rPr>
          <w:rFonts w:asciiTheme="majorHAnsi" w:eastAsia="Calibri" w:hAnsiTheme="majorHAnsi" w:cs="Arial"/>
          <w:sz w:val="24"/>
          <w:szCs w:val="24"/>
        </w:rPr>
        <w:t xml:space="preserve"> </w:t>
      </w:r>
      <w:r w:rsidR="00F70A55" w:rsidRPr="00F40E54">
        <w:rPr>
          <w:rFonts w:asciiTheme="majorHAnsi" w:eastAsia="Calibri" w:hAnsiTheme="majorHAnsi" w:cs="Arial"/>
          <w:sz w:val="24"/>
          <w:szCs w:val="24"/>
        </w:rPr>
        <w:t xml:space="preserve">Numerous research studies suggest that </w:t>
      </w:r>
      <w:r w:rsidR="001D6A0A" w:rsidRPr="00F40E54">
        <w:rPr>
          <w:rFonts w:asciiTheme="majorHAnsi" w:eastAsia="Calibri" w:hAnsiTheme="majorHAnsi" w:cs="Arial"/>
          <w:sz w:val="24"/>
          <w:szCs w:val="24"/>
        </w:rPr>
        <w:t xml:space="preserve">educator </w:t>
      </w:r>
      <w:r w:rsidR="00F70A55" w:rsidRPr="00F40E54">
        <w:rPr>
          <w:rFonts w:asciiTheme="majorHAnsi" w:eastAsia="Calibri" w:hAnsiTheme="majorHAnsi" w:cs="Arial"/>
          <w:sz w:val="24"/>
          <w:szCs w:val="24"/>
        </w:rPr>
        <w:t>strategies which focus upon achieving compliance, subduing and preventing distraction from the formal curriculum</w:t>
      </w:r>
      <w:r w:rsidR="00FD27B6" w:rsidRPr="00F40E54">
        <w:rPr>
          <w:rFonts w:asciiTheme="majorHAnsi" w:eastAsia="Calibri" w:hAnsiTheme="majorHAnsi" w:cs="Arial"/>
          <w:sz w:val="24"/>
          <w:szCs w:val="24"/>
        </w:rPr>
        <w:t>,</w:t>
      </w:r>
      <w:r w:rsidR="00F70A55" w:rsidRPr="00F40E54">
        <w:rPr>
          <w:rFonts w:asciiTheme="majorHAnsi" w:eastAsia="Calibri" w:hAnsiTheme="majorHAnsi" w:cs="Arial"/>
          <w:sz w:val="24"/>
          <w:szCs w:val="24"/>
        </w:rPr>
        <w:t xml:space="preserve"> dominate at the expense of those which offer learners opportunities for active participation, and collaboration (Bayer et al. 1995; Chen, 2003; Silver and Harkins, 2007; Blank and Schneider, 2011).  </w:t>
      </w:r>
      <w:r w:rsidR="00264297" w:rsidRPr="00F40E54">
        <w:rPr>
          <w:rFonts w:asciiTheme="majorHAnsi" w:eastAsia="Calibri" w:hAnsiTheme="majorHAnsi" w:cs="Arial"/>
          <w:sz w:val="24"/>
          <w:szCs w:val="24"/>
        </w:rPr>
        <w:t>I</w:t>
      </w:r>
      <w:r w:rsidR="00FD27B6" w:rsidRPr="00F40E54">
        <w:rPr>
          <w:rFonts w:asciiTheme="majorHAnsi" w:eastAsia="Calibri" w:hAnsiTheme="majorHAnsi" w:cs="Arial"/>
          <w:sz w:val="24"/>
          <w:szCs w:val="24"/>
        </w:rPr>
        <w:t>t is my view that</w:t>
      </w:r>
      <w:r w:rsidR="00264297" w:rsidRPr="00F40E54">
        <w:rPr>
          <w:rFonts w:asciiTheme="majorHAnsi" w:eastAsia="Calibri" w:hAnsiTheme="majorHAnsi" w:cs="Arial"/>
          <w:sz w:val="24"/>
          <w:szCs w:val="24"/>
        </w:rPr>
        <w:t xml:space="preserve"> </w:t>
      </w:r>
      <w:r w:rsidR="003504DB" w:rsidRPr="00F40E54">
        <w:rPr>
          <w:rFonts w:asciiTheme="majorHAnsi" w:eastAsia="Calibri" w:hAnsiTheme="majorHAnsi" w:cs="Arial"/>
          <w:sz w:val="24"/>
          <w:szCs w:val="24"/>
        </w:rPr>
        <w:t>engaging</w:t>
      </w:r>
      <w:r w:rsidR="00F70A55" w:rsidRPr="00F40E54">
        <w:rPr>
          <w:rFonts w:asciiTheme="majorHAnsi" w:eastAsia="Calibri" w:hAnsiTheme="majorHAnsi" w:cs="Arial"/>
          <w:sz w:val="24"/>
          <w:szCs w:val="24"/>
        </w:rPr>
        <w:t xml:space="preserve"> in conflicts as they occur</w:t>
      </w:r>
      <w:r w:rsidR="001D6A0A" w:rsidRPr="00F40E54">
        <w:rPr>
          <w:rFonts w:asciiTheme="majorHAnsi" w:eastAsia="Calibri" w:hAnsiTheme="majorHAnsi" w:cs="Arial"/>
          <w:sz w:val="24"/>
          <w:szCs w:val="24"/>
        </w:rPr>
        <w:t xml:space="preserve">, </w:t>
      </w:r>
      <w:r w:rsidR="00F70A55" w:rsidRPr="00F40E54">
        <w:rPr>
          <w:rFonts w:asciiTheme="majorHAnsi" w:eastAsia="Calibri" w:hAnsiTheme="majorHAnsi" w:cs="Arial"/>
          <w:sz w:val="24"/>
          <w:szCs w:val="24"/>
        </w:rPr>
        <w:t>supported by a more able other</w:t>
      </w:r>
      <w:r w:rsidR="003504DB" w:rsidRPr="00F40E54">
        <w:rPr>
          <w:rFonts w:asciiTheme="majorHAnsi" w:eastAsia="Calibri" w:hAnsiTheme="majorHAnsi" w:cs="Arial"/>
          <w:sz w:val="24"/>
          <w:szCs w:val="24"/>
        </w:rPr>
        <w:t xml:space="preserve"> if necessary</w:t>
      </w:r>
      <w:r w:rsidR="00FD27B6" w:rsidRPr="00F40E54">
        <w:rPr>
          <w:rFonts w:asciiTheme="majorHAnsi" w:eastAsia="Calibri" w:hAnsiTheme="majorHAnsi" w:cs="Arial"/>
          <w:sz w:val="24"/>
          <w:szCs w:val="24"/>
        </w:rPr>
        <w:t>,</w:t>
      </w:r>
      <w:r w:rsidR="00F70A55" w:rsidRPr="00F40E54">
        <w:rPr>
          <w:rFonts w:asciiTheme="majorHAnsi" w:eastAsia="Calibri" w:hAnsiTheme="majorHAnsi" w:cs="Arial"/>
          <w:sz w:val="24"/>
          <w:szCs w:val="24"/>
        </w:rPr>
        <w:t xml:space="preserve"> afford</w:t>
      </w:r>
      <w:r w:rsidR="003504DB" w:rsidRPr="00F40E54">
        <w:rPr>
          <w:rFonts w:asciiTheme="majorHAnsi" w:eastAsia="Calibri" w:hAnsiTheme="majorHAnsi" w:cs="Arial"/>
          <w:sz w:val="24"/>
          <w:szCs w:val="24"/>
        </w:rPr>
        <w:t>s learners opportunities</w:t>
      </w:r>
      <w:r w:rsidR="00F70A55" w:rsidRPr="00F40E54">
        <w:rPr>
          <w:rFonts w:asciiTheme="majorHAnsi" w:eastAsia="Calibri" w:hAnsiTheme="majorHAnsi" w:cs="Arial"/>
          <w:sz w:val="24"/>
          <w:szCs w:val="24"/>
        </w:rPr>
        <w:t xml:space="preserve"> to develop their conflict management skills.</w:t>
      </w:r>
      <w:r w:rsidR="00264297" w:rsidRPr="00F40E54">
        <w:rPr>
          <w:rFonts w:asciiTheme="majorHAnsi" w:eastAsia="Calibri" w:hAnsiTheme="majorHAnsi" w:cs="Arial"/>
          <w:sz w:val="24"/>
          <w:szCs w:val="24"/>
        </w:rPr>
        <w:t xml:space="preserve"> </w:t>
      </w:r>
      <w:r w:rsidR="00F70A55" w:rsidRPr="00F40E54">
        <w:rPr>
          <w:rFonts w:asciiTheme="majorHAnsi" w:eastAsia="Calibri" w:hAnsiTheme="majorHAnsi" w:cs="Arial"/>
          <w:sz w:val="24"/>
          <w:szCs w:val="24"/>
        </w:rPr>
        <w:t xml:space="preserve">Therefore my study focused not on </w:t>
      </w:r>
      <w:r w:rsidR="00CC7B0F" w:rsidRPr="00F40E54">
        <w:rPr>
          <w:rFonts w:asciiTheme="majorHAnsi" w:eastAsia="Calibri" w:hAnsiTheme="majorHAnsi" w:cs="Arial"/>
          <w:sz w:val="24"/>
          <w:szCs w:val="24"/>
        </w:rPr>
        <w:t>the resolution</w:t>
      </w:r>
      <w:r w:rsidR="00AA3EDE" w:rsidRPr="00F40E54">
        <w:rPr>
          <w:rFonts w:asciiTheme="majorHAnsi" w:eastAsia="Calibri" w:hAnsiTheme="majorHAnsi" w:cs="Arial"/>
          <w:sz w:val="24"/>
          <w:szCs w:val="24"/>
        </w:rPr>
        <w:t xml:space="preserve"> of conflict but its management by educators and learners.</w:t>
      </w:r>
    </w:p>
    <w:p w14:paraId="49F2FD33" w14:textId="28B86441" w:rsidR="008A2AC6" w:rsidRPr="00F40E54" w:rsidRDefault="008A2AC6" w:rsidP="008A2AC6">
      <w:pPr>
        <w:spacing w:line="360" w:lineRule="auto"/>
        <w:rPr>
          <w:rFonts w:asciiTheme="majorHAnsi" w:eastAsia="Calibri" w:hAnsiTheme="majorHAnsi" w:cs="Times New Roman"/>
          <w:b/>
          <w:sz w:val="28"/>
          <w:szCs w:val="28"/>
        </w:rPr>
      </w:pPr>
      <w:r w:rsidRPr="00F40E54">
        <w:rPr>
          <w:rFonts w:asciiTheme="majorHAnsi" w:eastAsia="Calibri" w:hAnsiTheme="majorHAnsi" w:cs="Times New Roman"/>
          <w:b/>
          <w:sz w:val="28"/>
          <w:szCs w:val="28"/>
        </w:rPr>
        <w:t xml:space="preserve">Why </w:t>
      </w:r>
      <w:r w:rsidR="00AA3EDE" w:rsidRPr="00F40E54">
        <w:rPr>
          <w:rFonts w:asciiTheme="majorHAnsi" w:eastAsia="Calibri" w:hAnsiTheme="majorHAnsi" w:cs="Times New Roman"/>
          <w:b/>
          <w:sz w:val="28"/>
          <w:szCs w:val="28"/>
        </w:rPr>
        <w:t xml:space="preserve">a focus on </w:t>
      </w:r>
      <w:r w:rsidRPr="00F40E54">
        <w:rPr>
          <w:rFonts w:asciiTheme="majorHAnsi" w:eastAsia="Calibri" w:hAnsiTheme="majorHAnsi" w:cs="Times New Roman"/>
          <w:b/>
          <w:sz w:val="28"/>
          <w:szCs w:val="28"/>
        </w:rPr>
        <w:t>teachable moments?</w:t>
      </w:r>
    </w:p>
    <w:p w14:paraId="3BC9116A" w14:textId="2D0C9269" w:rsidR="00FC571E" w:rsidRPr="00F40E54" w:rsidRDefault="00AA3EDE" w:rsidP="0003601C">
      <w:pPr>
        <w:spacing w:after="0" w:line="360" w:lineRule="auto"/>
        <w:rPr>
          <w:rFonts w:asciiTheme="majorHAnsi" w:eastAsia="Calibri" w:hAnsiTheme="majorHAnsi" w:cs="Arial"/>
          <w:sz w:val="24"/>
          <w:szCs w:val="24"/>
        </w:rPr>
      </w:pPr>
      <w:r w:rsidRPr="00F40E54">
        <w:rPr>
          <w:rFonts w:asciiTheme="majorHAnsi" w:eastAsia="Calibri" w:hAnsiTheme="majorHAnsi" w:cs="Arial"/>
          <w:sz w:val="24"/>
          <w:szCs w:val="24"/>
        </w:rPr>
        <w:t xml:space="preserve">Arcaro-McPhee et al. </w:t>
      </w:r>
      <w:r w:rsidR="00AC1554" w:rsidRPr="00F40E54">
        <w:rPr>
          <w:rFonts w:asciiTheme="majorHAnsi" w:eastAsia="Calibri" w:hAnsiTheme="majorHAnsi" w:cs="Arial"/>
          <w:sz w:val="24"/>
          <w:szCs w:val="24"/>
        </w:rPr>
        <w:t xml:space="preserve">(2002 p.20) </w:t>
      </w:r>
      <w:r w:rsidRPr="00F40E54">
        <w:rPr>
          <w:rFonts w:asciiTheme="majorHAnsi" w:eastAsia="Calibri" w:hAnsiTheme="majorHAnsi" w:cs="Arial"/>
          <w:sz w:val="24"/>
          <w:szCs w:val="24"/>
        </w:rPr>
        <w:t>use</w:t>
      </w:r>
      <w:r w:rsidR="0003601C" w:rsidRPr="00F40E54">
        <w:rPr>
          <w:rFonts w:asciiTheme="majorHAnsi" w:eastAsia="Calibri" w:hAnsiTheme="majorHAnsi" w:cs="Arial"/>
          <w:sz w:val="24"/>
          <w:szCs w:val="24"/>
        </w:rPr>
        <w:t xml:space="preserve"> the phrase ‘teachable moments’ to describe how educators </w:t>
      </w:r>
      <w:r w:rsidRPr="00F40E54">
        <w:rPr>
          <w:rFonts w:asciiTheme="majorHAnsi" w:eastAsia="Calibri" w:hAnsiTheme="majorHAnsi" w:cs="Arial"/>
          <w:sz w:val="24"/>
          <w:szCs w:val="24"/>
        </w:rPr>
        <w:t>might</w:t>
      </w:r>
      <w:r w:rsidR="0003601C" w:rsidRPr="00F40E54">
        <w:rPr>
          <w:rFonts w:asciiTheme="majorHAnsi" w:eastAsia="Calibri" w:hAnsiTheme="majorHAnsi" w:cs="Arial"/>
          <w:sz w:val="24"/>
          <w:szCs w:val="24"/>
        </w:rPr>
        <w:t xml:space="preserve"> observ</w:t>
      </w:r>
      <w:r w:rsidR="006600D4" w:rsidRPr="00F40E54">
        <w:rPr>
          <w:rFonts w:asciiTheme="majorHAnsi" w:eastAsia="Calibri" w:hAnsiTheme="majorHAnsi" w:cs="Arial"/>
          <w:sz w:val="24"/>
          <w:szCs w:val="24"/>
        </w:rPr>
        <w:t>e</w:t>
      </w:r>
      <w:r w:rsidR="0003601C" w:rsidRPr="00F40E54">
        <w:rPr>
          <w:rFonts w:asciiTheme="majorHAnsi" w:eastAsia="Calibri" w:hAnsiTheme="majorHAnsi" w:cs="Arial"/>
          <w:sz w:val="24"/>
          <w:szCs w:val="24"/>
        </w:rPr>
        <w:t xml:space="preserve">, monitor and react ‘only when children’s skills fail them’ </w:t>
      </w:r>
      <w:r w:rsidR="006600D4" w:rsidRPr="00F40E54">
        <w:rPr>
          <w:rFonts w:asciiTheme="majorHAnsi" w:eastAsia="Calibri" w:hAnsiTheme="majorHAnsi" w:cs="Arial"/>
          <w:sz w:val="24"/>
          <w:szCs w:val="24"/>
        </w:rPr>
        <w:t xml:space="preserve">I adopted the term ‘teachable moments’ in recognition of the fleeting nature of unplanned opportunities for learning. </w:t>
      </w:r>
      <w:r w:rsidR="00CC7B0F" w:rsidRPr="00F40E54">
        <w:rPr>
          <w:rFonts w:asciiTheme="majorHAnsi" w:eastAsia="Calibri" w:hAnsiTheme="majorHAnsi" w:cs="Arial"/>
          <w:sz w:val="24"/>
          <w:szCs w:val="24"/>
        </w:rPr>
        <w:t>I was attracted by the notion that optimising int</w:t>
      </w:r>
      <w:r w:rsidR="003504DB" w:rsidRPr="00F40E54">
        <w:rPr>
          <w:rFonts w:asciiTheme="majorHAnsi" w:eastAsia="Calibri" w:hAnsiTheme="majorHAnsi" w:cs="Arial"/>
          <w:sz w:val="24"/>
          <w:szCs w:val="24"/>
        </w:rPr>
        <w:t>erventions potentially optimises learner</w:t>
      </w:r>
      <w:r w:rsidR="00CC7B0F" w:rsidRPr="00F40E54">
        <w:rPr>
          <w:rFonts w:asciiTheme="majorHAnsi" w:eastAsia="Calibri" w:hAnsiTheme="majorHAnsi" w:cs="Arial"/>
          <w:sz w:val="24"/>
          <w:szCs w:val="24"/>
        </w:rPr>
        <w:t xml:space="preserve"> agency. </w:t>
      </w:r>
    </w:p>
    <w:p w14:paraId="44C7D4D4" w14:textId="77777777" w:rsidR="00AA3EDE" w:rsidRPr="00F40E54" w:rsidRDefault="00AA3EDE" w:rsidP="0003601C">
      <w:pPr>
        <w:spacing w:after="0" w:line="360" w:lineRule="auto"/>
        <w:rPr>
          <w:rFonts w:asciiTheme="majorHAnsi" w:eastAsia="Calibri" w:hAnsiTheme="majorHAnsi" w:cs="Arial"/>
          <w:sz w:val="24"/>
          <w:szCs w:val="24"/>
        </w:rPr>
      </w:pPr>
    </w:p>
    <w:p w14:paraId="3223A17B" w14:textId="1477DACE" w:rsidR="00993958" w:rsidRPr="00F40E54" w:rsidRDefault="00993958" w:rsidP="00993958">
      <w:pPr>
        <w:spacing w:line="360" w:lineRule="auto"/>
        <w:rPr>
          <w:rFonts w:asciiTheme="majorHAnsi" w:eastAsia="Calibri" w:hAnsiTheme="majorHAnsi" w:cs="AdvPTimes"/>
          <w:color w:val="FF0000"/>
          <w:sz w:val="24"/>
          <w:szCs w:val="24"/>
        </w:rPr>
      </w:pPr>
      <w:r w:rsidRPr="00F40E54">
        <w:rPr>
          <w:rFonts w:asciiTheme="majorHAnsi" w:eastAsia="Calibri" w:hAnsiTheme="majorHAnsi" w:cs="Arial"/>
          <w:sz w:val="24"/>
          <w:szCs w:val="24"/>
        </w:rPr>
        <w:lastRenderedPageBreak/>
        <w:t xml:space="preserve">Advances </w:t>
      </w:r>
      <w:r w:rsidR="0047527B" w:rsidRPr="00F40E54">
        <w:rPr>
          <w:rFonts w:asciiTheme="majorHAnsi" w:eastAsia="Calibri" w:hAnsiTheme="majorHAnsi" w:cs="AdvPTimes"/>
          <w:sz w:val="24"/>
          <w:szCs w:val="24"/>
        </w:rPr>
        <w:t xml:space="preserve">in neuroscience affirm Dewey’s </w:t>
      </w:r>
      <w:r w:rsidR="0047527B" w:rsidRPr="00F40E54">
        <w:rPr>
          <w:rFonts w:asciiTheme="majorHAnsi" w:eastAsia="Calibri" w:hAnsiTheme="majorHAnsi" w:cs="Arial"/>
          <w:sz w:val="24"/>
          <w:szCs w:val="24"/>
        </w:rPr>
        <w:t xml:space="preserve">(1938) </w:t>
      </w:r>
      <w:r w:rsidRPr="00F40E54">
        <w:rPr>
          <w:rFonts w:asciiTheme="majorHAnsi" w:eastAsia="Calibri" w:hAnsiTheme="majorHAnsi" w:cs="AdvPTimes"/>
          <w:sz w:val="24"/>
          <w:szCs w:val="24"/>
        </w:rPr>
        <w:t>assertion of the importance of direct experience in learning. Rushton</w:t>
      </w:r>
      <w:r w:rsidR="00AC1554" w:rsidRPr="00F40E54">
        <w:rPr>
          <w:rFonts w:asciiTheme="majorHAnsi" w:eastAsia="Calibri" w:hAnsiTheme="majorHAnsi" w:cs="AdvPTimes"/>
          <w:sz w:val="24"/>
          <w:szCs w:val="24"/>
        </w:rPr>
        <w:t>,</w:t>
      </w:r>
      <w:r w:rsidR="00AA3EDE" w:rsidRPr="00F40E54">
        <w:rPr>
          <w:rFonts w:asciiTheme="majorHAnsi" w:eastAsia="Calibri" w:hAnsiTheme="majorHAnsi" w:cs="AdvPTimes"/>
          <w:sz w:val="24"/>
          <w:szCs w:val="24"/>
        </w:rPr>
        <w:t xml:space="preserve"> (2011 p.89) </w:t>
      </w:r>
      <w:r w:rsidRPr="00F40E54">
        <w:rPr>
          <w:rFonts w:asciiTheme="majorHAnsi" w:eastAsia="Calibri" w:hAnsiTheme="majorHAnsi" w:cs="AdvPTimes"/>
          <w:sz w:val="24"/>
          <w:szCs w:val="24"/>
        </w:rPr>
        <w:t>advocates</w:t>
      </w:r>
      <w:r w:rsidR="0003601C" w:rsidRPr="00F40E54">
        <w:rPr>
          <w:rFonts w:asciiTheme="majorHAnsi" w:eastAsia="Calibri" w:hAnsiTheme="majorHAnsi" w:cs="AdvPTimes"/>
          <w:sz w:val="24"/>
          <w:szCs w:val="24"/>
        </w:rPr>
        <w:t xml:space="preserve"> </w:t>
      </w:r>
      <w:r w:rsidRPr="00F40E54">
        <w:rPr>
          <w:rFonts w:asciiTheme="majorHAnsi" w:eastAsia="Calibri" w:hAnsiTheme="majorHAnsi" w:cs="AdvPTimes"/>
          <w:sz w:val="24"/>
          <w:szCs w:val="24"/>
        </w:rPr>
        <w:t xml:space="preserve">the use of </w:t>
      </w:r>
      <w:r w:rsidR="0047527B" w:rsidRPr="00F40E54">
        <w:rPr>
          <w:rFonts w:asciiTheme="majorHAnsi" w:eastAsia="Calibri" w:hAnsiTheme="majorHAnsi" w:cs="AdvPTimes"/>
          <w:sz w:val="24"/>
          <w:szCs w:val="24"/>
        </w:rPr>
        <w:t xml:space="preserve">pedagogy </w:t>
      </w:r>
      <w:r w:rsidRPr="00F40E54">
        <w:rPr>
          <w:rFonts w:asciiTheme="majorHAnsi" w:eastAsia="Calibri" w:hAnsiTheme="majorHAnsi" w:cs="AdvPTimes"/>
          <w:sz w:val="24"/>
          <w:szCs w:val="24"/>
        </w:rPr>
        <w:t>consistent with current neuro-scientific knowledge</w:t>
      </w:r>
      <w:r w:rsidR="0003601C" w:rsidRPr="00F40E54">
        <w:rPr>
          <w:rFonts w:asciiTheme="majorHAnsi" w:eastAsia="Calibri" w:hAnsiTheme="majorHAnsi" w:cs="AdvPTimes"/>
          <w:sz w:val="24"/>
          <w:szCs w:val="24"/>
        </w:rPr>
        <w:t xml:space="preserve">. </w:t>
      </w:r>
      <w:r w:rsidRPr="00F40E54">
        <w:rPr>
          <w:rFonts w:asciiTheme="majorHAnsi" w:eastAsia="Calibri" w:hAnsiTheme="majorHAnsi" w:cs="AdvPTimes"/>
          <w:sz w:val="24"/>
          <w:szCs w:val="24"/>
        </w:rPr>
        <w:t>He asserts that ‘children’s brains need to be immersed in real-life, hands-on, and meaningful learning experi</w:t>
      </w:r>
      <w:r w:rsidR="0047527B" w:rsidRPr="00F40E54">
        <w:rPr>
          <w:rFonts w:asciiTheme="majorHAnsi" w:eastAsia="Calibri" w:hAnsiTheme="majorHAnsi" w:cs="AdvPTimes"/>
          <w:sz w:val="24"/>
          <w:szCs w:val="24"/>
        </w:rPr>
        <w:t xml:space="preserve">ences’ for effective learning’ A pedagogy which embraces the notion of teachable moments </w:t>
      </w:r>
      <w:r w:rsidR="001D6A0A" w:rsidRPr="00F40E54">
        <w:rPr>
          <w:rFonts w:asciiTheme="majorHAnsi" w:eastAsia="Calibri" w:hAnsiTheme="majorHAnsi" w:cs="AdvPTimes"/>
          <w:sz w:val="24"/>
          <w:szCs w:val="24"/>
        </w:rPr>
        <w:t>aims to tune</w:t>
      </w:r>
      <w:r w:rsidR="0047527B" w:rsidRPr="00F40E54">
        <w:rPr>
          <w:rFonts w:asciiTheme="majorHAnsi" w:eastAsia="Calibri" w:hAnsiTheme="majorHAnsi" w:cs="AdvPTimes"/>
          <w:sz w:val="24"/>
          <w:szCs w:val="24"/>
        </w:rPr>
        <w:t xml:space="preserve"> into the direct real-time </w:t>
      </w:r>
      <w:r w:rsidR="00FC571E" w:rsidRPr="00F40E54">
        <w:rPr>
          <w:rFonts w:asciiTheme="majorHAnsi" w:eastAsia="Calibri" w:hAnsiTheme="majorHAnsi" w:cs="AdvPTimes"/>
          <w:sz w:val="24"/>
          <w:szCs w:val="24"/>
        </w:rPr>
        <w:t>experience</w:t>
      </w:r>
      <w:r w:rsidR="0047527B" w:rsidRPr="00F40E54">
        <w:rPr>
          <w:rFonts w:asciiTheme="majorHAnsi" w:eastAsia="Calibri" w:hAnsiTheme="majorHAnsi" w:cs="AdvPTimes"/>
          <w:sz w:val="24"/>
          <w:szCs w:val="24"/>
        </w:rPr>
        <w:t>s of learners where</w:t>
      </w:r>
      <w:r w:rsidR="001D6A0A" w:rsidRPr="00F40E54">
        <w:rPr>
          <w:rFonts w:asciiTheme="majorHAnsi" w:eastAsia="Calibri" w:hAnsiTheme="majorHAnsi" w:cs="AdvPTimes"/>
          <w:sz w:val="24"/>
          <w:szCs w:val="24"/>
        </w:rPr>
        <w:t>as</w:t>
      </w:r>
      <w:r w:rsidR="0047527B" w:rsidRPr="00F40E54">
        <w:rPr>
          <w:rFonts w:asciiTheme="majorHAnsi" w:eastAsia="Calibri" w:hAnsiTheme="majorHAnsi" w:cs="AdvPTimes"/>
          <w:sz w:val="24"/>
          <w:szCs w:val="24"/>
        </w:rPr>
        <w:t xml:space="preserve"> a generic </w:t>
      </w:r>
      <w:r w:rsidR="001D6A0A" w:rsidRPr="00F40E54">
        <w:rPr>
          <w:rFonts w:asciiTheme="majorHAnsi" w:eastAsia="Calibri" w:hAnsiTheme="majorHAnsi" w:cs="AdvPTimes"/>
          <w:sz w:val="24"/>
          <w:szCs w:val="24"/>
        </w:rPr>
        <w:t>teaching programme</w:t>
      </w:r>
      <w:r w:rsidR="0047527B" w:rsidRPr="00F40E54">
        <w:rPr>
          <w:rFonts w:asciiTheme="majorHAnsi" w:eastAsia="Calibri" w:hAnsiTheme="majorHAnsi" w:cs="AdvPTimes"/>
          <w:sz w:val="24"/>
          <w:szCs w:val="24"/>
        </w:rPr>
        <w:t xml:space="preserve"> do</w:t>
      </w:r>
      <w:r w:rsidR="001D6A0A" w:rsidRPr="00F40E54">
        <w:rPr>
          <w:rFonts w:asciiTheme="majorHAnsi" w:eastAsia="Calibri" w:hAnsiTheme="majorHAnsi" w:cs="AdvPTimes"/>
          <w:sz w:val="24"/>
          <w:szCs w:val="24"/>
        </w:rPr>
        <w:t>es</w:t>
      </w:r>
      <w:r w:rsidR="0047527B" w:rsidRPr="00F40E54">
        <w:rPr>
          <w:rFonts w:asciiTheme="majorHAnsi" w:eastAsia="Calibri" w:hAnsiTheme="majorHAnsi" w:cs="AdvPTimes"/>
          <w:sz w:val="24"/>
          <w:szCs w:val="24"/>
        </w:rPr>
        <w:t xml:space="preserve"> not.</w:t>
      </w:r>
    </w:p>
    <w:p w14:paraId="68DBC855" w14:textId="77777777" w:rsidR="00D77D9A" w:rsidRPr="00F40E54" w:rsidRDefault="00D77D9A" w:rsidP="00D77D9A">
      <w:pPr>
        <w:spacing w:line="360" w:lineRule="auto"/>
        <w:rPr>
          <w:rFonts w:asciiTheme="majorHAnsi" w:eastAsia="Calibri" w:hAnsiTheme="majorHAnsi" w:cs="Arial"/>
          <w:b/>
          <w:color w:val="000000" w:themeColor="text1"/>
          <w:sz w:val="28"/>
          <w:szCs w:val="28"/>
        </w:rPr>
      </w:pPr>
      <w:r w:rsidRPr="00F40E54">
        <w:rPr>
          <w:rFonts w:asciiTheme="majorHAnsi" w:eastAsia="Calibri" w:hAnsiTheme="majorHAnsi" w:cs="Arial"/>
          <w:b/>
          <w:color w:val="000000" w:themeColor="text1"/>
          <w:sz w:val="28"/>
          <w:szCs w:val="28"/>
        </w:rPr>
        <w:t xml:space="preserve">Methodology </w:t>
      </w:r>
    </w:p>
    <w:p w14:paraId="3092A378" w14:textId="6B83B378" w:rsidR="00B906C8" w:rsidRPr="00F40E54" w:rsidRDefault="003504DB" w:rsidP="00D77D9A">
      <w:pPr>
        <w:spacing w:line="360" w:lineRule="auto"/>
        <w:rPr>
          <w:rFonts w:asciiTheme="majorHAnsi" w:eastAsia="Calibri" w:hAnsiTheme="majorHAnsi" w:cs="Arial"/>
          <w:color w:val="FF0000"/>
          <w:sz w:val="24"/>
          <w:szCs w:val="24"/>
        </w:rPr>
      </w:pPr>
      <w:r w:rsidRPr="00F40E54">
        <w:rPr>
          <w:rFonts w:asciiTheme="majorHAnsi" w:eastAsia="Calibri" w:hAnsiTheme="majorHAnsi" w:cs="Arial"/>
          <w:sz w:val="24"/>
          <w:szCs w:val="24"/>
        </w:rPr>
        <w:t>The</w:t>
      </w:r>
      <w:r w:rsidR="0047527B" w:rsidRPr="00F40E54">
        <w:rPr>
          <w:rFonts w:asciiTheme="majorHAnsi" w:eastAsia="Calibri" w:hAnsiTheme="majorHAnsi" w:cs="Arial"/>
          <w:sz w:val="24"/>
          <w:szCs w:val="24"/>
        </w:rPr>
        <w:t xml:space="preserve"> study wa</w:t>
      </w:r>
      <w:r w:rsidR="007F076B" w:rsidRPr="00F40E54">
        <w:rPr>
          <w:rFonts w:asciiTheme="majorHAnsi" w:eastAsia="Calibri" w:hAnsiTheme="majorHAnsi" w:cs="Arial"/>
          <w:sz w:val="24"/>
          <w:szCs w:val="24"/>
        </w:rPr>
        <w:t>s informed by a social construct</w:t>
      </w:r>
      <w:r w:rsidR="001D6A0A" w:rsidRPr="00F40E54">
        <w:rPr>
          <w:rFonts w:asciiTheme="majorHAnsi" w:eastAsia="Calibri" w:hAnsiTheme="majorHAnsi" w:cs="Arial"/>
          <w:sz w:val="24"/>
          <w:szCs w:val="24"/>
        </w:rPr>
        <w:t>ivist perspective (Vygotsky</w:t>
      </w:r>
      <w:r w:rsidR="00AA3EDE" w:rsidRPr="00F40E54">
        <w:rPr>
          <w:rFonts w:asciiTheme="majorHAnsi" w:eastAsia="Calibri" w:hAnsiTheme="majorHAnsi" w:cs="Arial"/>
          <w:sz w:val="24"/>
          <w:szCs w:val="24"/>
        </w:rPr>
        <w:t>,</w:t>
      </w:r>
      <w:r w:rsidR="001D6A0A" w:rsidRPr="00F40E54">
        <w:rPr>
          <w:rFonts w:asciiTheme="majorHAnsi" w:eastAsia="Calibri" w:hAnsiTheme="majorHAnsi" w:cs="Arial"/>
          <w:sz w:val="24"/>
          <w:szCs w:val="24"/>
        </w:rPr>
        <w:t xml:space="preserve"> 1978). </w:t>
      </w:r>
      <w:r w:rsidR="001D6A0A" w:rsidRPr="00F40E54">
        <w:rPr>
          <w:rFonts w:asciiTheme="majorHAnsi" w:hAnsiTheme="majorHAnsi"/>
          <w:sz w:val="24"/>
          <w:szCs w:val="24"/>
        </w:rPr>
        <w:t xml:space="preserve">The </w:t>
      </w:r>
      <w:r w:rsidR="00B906C8" w:rsidRPr="00F40E54">
        <w:rPr>
          <w:rFonts w:asciiTheme="majorHAnsi" w:hAnsiTheme="majorHAnsi"/>
          <w:sz w:val="24"/>
          <w:szCs w:val="24"/>
        </w:rPr>
        <w:t>research design comprised aspects of case study, grounded theory and action research. The intention was to collect qualitative data by way of o</w:t>
      </w:r>
      <w:r w:rsidR="00AA3EDE" w:rsidRPr="00F40E54">
        <w:rPr>
          <w:rFonts w:asciiTheme="majorHAnsi" w:hAnsiTheme="majorHAnsi"/>
          <w:sz w:val="24"/>
          <w:szCs w:val="24"/>
        </w:rPr>
        <w:t>bservation from the whole cohort of eighteen children</w:t>
      </w:r>
      <w:r w:rsidR="00B906C8" w:rsidRPr="00F40E54">
        <w:rPr>
          <w:rFonts w:asciiTheme="majorHAnsi" w:hAnsiTheme="majorHAnsi"/>
          <w:sz w:val="24"/>
          <w:szCs w:val="24"/>
        </w:rPr>
        <w:t xml:space="preserve"> and colle</w:t>
      </w:r>
      <w:r w:rsidR="00AA3EDE" w:rsidRPr="00F40E54">
        <w:rPr>
          <w:rFonts w:asciiTheme="majorHAnsi" w:hAnsiTheme="majorHAnsi"/>
          <w:sz w:val="24"/>
          <w:szCs w:val="24"/>
        </w:rPr>
        <w:t>agues working directl</w:t>
      </w:r>
      <w:r w:rsidR="00AC1554" w:rsidRPr="00F40E54">
        <w:rPr>
          <w:rFonts w:asciiTheme="majorHAnsi" w:hAnsiTheme="majorHAnsi"/>
          <w:sz w:val="24"/>
          <w:szCs w:val="24"/>
        </w:rPr>
        <w:t>y with them; three adults in total.</w:t>
      </w:r>
    </w:p>
    <w:p w14:paraId="4D8AA3B2" w14:textId="3A61AAFB" w:rsidR="007F076B" w:rsidRPr="00F40E54" w:rsidRDefault="00D77D9A" w:rsidP="00D77D9A">
      <w:pPr>
        <w:spacing w:after="0" w:line="360" w:lineRule="auto"/>
        <w:rPr>
          <w:rFonts w:asciiTheme="majorHAnsi" w:eastAsia="Calibri" w:hAnsiTheme="majorHAnsi" w:cs="Arial"/>
          <w:b/>
          <w:sz w:val="28"/>
          <w:szCs w:val="28"/>
        </w:rPr>
      </w:pPr>
      <w:r w:rsidRPr="00F40E54">
        <w:rPr>
          <w:rFonts w:asciiTheme="majorHAnsi" w:eastAsia="Calibri" w:hAnsiTheme="majorHAnsi" w:cs="Arial"/>
          <w:b/>
          <w:sz w:val="28"/>
          <w:szCs w:val="28"/>
        </w:rPr>
        <w:t>The r</w:t>
      </w:r>
      <w:r w:rsidR="007F076B" w:rsidRPr="00F40E54">
        <w:rPr>
          <w:rFonts w:asciiTheme="majorHAnsi" w:eastAsia="Calibri" w:hAnsiTheme="majorHAnsi" w:cs="Arial"/>
          <w:b/>
          <w:sz w:val="28"/>
          <w:szCs w:val="28"/>
        </w:rPr>
        <w:t xml:space="preserve">esearch questions </w:t>
      </w:r>
    </w:p>
    <w:p w14:paraId="5DB344F1" w14:textId="3EBE3900" w:rsidR="003F5DAE" w:rsidRPr="00F40E54" w:rsidRDefault="0047527B" w:rsidP="00D77D9A">
      <w:pPr>
        <w:spacing w:after="0" w:line="360" w:lineRule="auto"/>
        <w:rPr>
          <w:rFonts w:asciiTheme="majorHAnsi" w:eastAsia="Calibri" w:hAnsiTheme="majorHAnsi" w:cs="Arial"/>
          <w:sz w:val="24"/>
          <w:szCs w:val="24"/>
        </w:rPr>
      </w:pPr>
      <w:r w:rsidRPr="00F40E54">
        <w:rPr>
          <w:rFonts w:asciiTheme="majorHAnsi" w:eastAsia="Calibri" w:hAnsiTheme="majorHAnsi" w:cs="Arial"/>
          <w:sz w:val="24"/>
          <w:szCs w:val="24"/>
        </w:rPr>
        <w:t>T</w:t>
      </w:r>
      <w:r w:rsidR="00AF758E" w:rsidRPr="00F40E54">
        <w:rPr>
          <w:rFonts w:asciiTheme="majorHAnsi" w:eastAsia="Calibri" w:hAnsiTheme="majorHAnsi" w:cs="Arial"/>
          <w:sz w:val="24"/>
          <w:szCs w:val="24"/>
        </w:rPr>
        <w:t>he</w:t>
      </w:r>
      <w:r w:rsidRPr="00F40E54">
        <w:rPr>
          <w:rFonts w:asciiTheme="majorHAnsi" w:eastAsia="Calibri" w:hAnsiTheme="majorHAnsi" w:cs="Arial"/>
          <w:sz w:val="24"/>
          <w:szCs w:val="24"/>
        </w:rPr>
        <w:t>re were</w:t>
      </w:r>
      <w:r w:rsidR="00AF758E" w:rsidRPr="00F40E54">
        <w:rPr>
          <w:rFonts w:asciiTheme="majorHAnsi" w:eastAsia="Calibri" w:hAnsiTheme="majorHAnsi" w:cs="Arial"/>
          <w:sz w:val="24"/>
          <w:szCs w:val="24"/>
        </w:rPr>
        <w:t xml:space="preserve"> three research questions:</w:t>
      </w:r>
    </w:p>
    <w:p w14:paraId="6CDFEC8A" w14:textId="77777777" w:rsidR="007F076B" w:rsidRPr="00F40E54" w:rsidRDefault="007F076B" w:rsidP="00D77D9A">
      <w:pPr>
        <w:pStyle w:val="ListParagraph"/>
        <w:numPr>
          <w:ilvl w:val="0"/>
          <w:numId w:val="1"/>
        </w:numPr>
        <w:spacing w:after="0" w:line="360" w:lineRule="auto"/>
        <w:rPr>
          <w:rFonts w:asciiTheme="majorHAnsi" w:eastAsia="Calibri" w:hAnsiTheme="majorHAnsi" w:cs="Arial"/>
          <w:sz w:val="24"/>
          <w:szCs w:val="24"/>
        </w:rPr>
      </w:pPr>
      <w:r w:rsidRPr="00F40E54">
        <w:rPr>
          <w:rFonts w:asciiTheme="majorHAnsi" w:eastAsia="Calibri" w:hAnsiTheme="majorHAnsi" w:cs="Arial"/>
          <w:sz w:val="24"/>
          <w:szCs w:val="24"/>
        </w:rPr>
        <w:t>How did educators respond to conflicts between peers?</w:t>
      </w:r>
    </w:p>
    <w:p w14:paraId="658262EA" w14:textId="77777777" w:rsidR="007F076B" w:rsidRPr="00F40E54" w:rsidRDefault="007F076B" w:rsidP="00D77D9A">
      <w:pPr>
        <w:pStyle w:val="ListParagraph"/>
        <w:numPr>
          <w:ilvl w:val="0"/>
          <w:numId w:val="1"/>
        </w:numPr>
        <w:spacing w:after="0" w:line="360" w:lineRule="auto"/>
        <w:rPr>
          <w:rFonts w:asciiTheme="majorHAnsi" w:eastAsia="Calibri" w:hAnsiTheme="majorHAnsi" w:cs="Arial"/>
          <w:sz w:val="24"/>
          <w:szCs w:val="24"/>
        </w:rPr>
      </w:pPr>
      <w:r w:rsidRPr="00F40E54">
        <w:rPr>
          <w:rFonts w:asciiTheme="majorHAnsi" w:eastAsia="Calibri" w:hAnsiTheme="majorHAnsi" w:cs="Arial"/>
          <w:sz w:val="24"/>
          <w:szCs w:val="24"/>
        </w:rPr>
        <w:t>Was there evidence of educators’ attempts to support social development of learners?</w:t>
      </w:r>
    </w:p>
    <w:p w14:paraId="5619A3B7" w14:textId="77777777" w:rsidR="007F076B" w:rsidRPr="00F40E54" w:rsidRDefault="007F076B" w:rsidP="00D77D9A">
      <w:pPr>
        <w:pStyle w:val="ListParagraph"/>
        <w:numPr>
          <w:ilvl w:val="0"/>
          <w:numId w:val="1"/>
        </w:numPr>
        <w:spacing w:after="0" w:line="360" w:lineRule="auto"/>
        <w:rPr>
          <w:rFonts w:asciiTheme="majorHAnsi" w:eastAsia="Calibri" w:hAnsiTheme="majorHAnsi" w:cs="Arial"/>
          <w:sz w:val="24"/>
          <w:szCs w:val="24"/>
        </w:rPr>
      </w:pPr>
      <w:r w:rsidRPr="00F40E54">
        <w:rPr>
          <w:rFonts w:asciiTheme="majorHAnsi" w:eastAsia="Calibri" w:hAnsiTheme="majorHAnsi" w:cs="Arial"/>
          <w:sz w:val="24"/>
          <w:szCs w:val="24"/>
        </w:rPr>
        <w:t xml:space="preserve">Was there evidence that educators’ responses facilitated the social development of learners at the setting? </w:t>
      </w:r>
    </w:p>
    <w:p w14:paraId="400F4408" w14:textId="77777777" w:rsidR="00AF758E" w:rsidRPr="00F40E54" w:rsidRDefault="00AF758E" w:rsidP="00AF758E">
      <w:pPr>
        <w:pStyle w:val="ListParagraph"/>
        <w:spacing w:after="0" w:line="360" w:lineRule="auto"/>
        <w:ind w:left="1287"/>
        <w:rPr>
          <w:rFonts w:asciiTheme="majorHAnsi" w:eastAsia="Calibri" w:hAnsiTheme="majorHAnsi" w:cs="Arial"/>
          <w:sz w:val="24"/>
          <w:szCs w:val="24"/>
        </w:rPr>
      </w:pPr>
    </w:p>
    <w:p w14:paraId="423B37F6" w14:textId="36F99137" w:rsidR="00823A51" w:rsidRPr="00F40E54" w:rsidRDefault="006D68B8" w:rsidP="00D77D9A">
      <w:pPr>
        <w:spacing w:line="360" w:lineRule="auto"/>
        <w:rPr>
          <w:rFonts w:asciiTheme="majorHAnsi" w:hAnsiTheme="majorHAnsi"/>
          <w:b/>
          <w:sz w:val="28"/>
          <w:szCs w:val="28"/>
        </w:rPr>
      </w:pPr>
      <w:r w:rsidRPr="00F40E54">
        <w:rPr>
          <w:rFonts w:asciiTheme="majorHAnsi" w:hAnsiTheme="majorHAnsi"/>
          <w:b/>
          <w:sz w:val="28"/>
          <w:szCs w:val="28"/>
        </w:rPr>
        <w:t>Ethical considerations</w:t>
      </w:r>
    </w:p>
    <w:p w14:paraId="131B8115" w14:textId="78758FF8" w:rsidR="00823A51" w:rsidRPr="00F40E54" w:rsidRDefault="007269F0" w:rsidP="009E085B">
      <w:pPr>
        <w:spacing w:line="360" w:lineRule="auto"/>
        <w:rPr>
          <w:rFonts w:asciiTheme="majorHAnsi" w:eastAsia="Times New Roman" w:hAnsiTheme="majorHAnsi" w:cs="Times New Roman"/>
          <w:sz w:val="24"/>
          <w:szCs w:val="24"/>
        </w:rPr>
      </w:pPr>
      <w:r w:rsidRPr="00F40E54">
        <w:rPr>
          <w:rFonts w:asciiTheme="majorHAnsi" w:hAnsiTheme="majorHAnsi"/>
          <w:sz w:val="24"/>
          <w:szCs w:val="24"/>
        </w:rPr>
        <w:t xml:space="preserve">The </w:t>
      </w:r>
      <w:r w:rsidR="00823A51" w:rsidRPr="00F40E54">
        <w:rPr>
          <w:rFonts w:asciiTheme="majorHAnsi" w:hAnsiTheme="majorHAnsi"/>
          <w:sz w:val="24"/>
          <w:szCs w:val="24"/>
        </w:rPr>
        <w:t>prima facie status of children as a vulnerable group was compounded by my relationship of personal and institutionalised authority in respect of them. Since this could not be neutralised the onus was upon me to establish a robust ethical framework for researching with children and vigilance in its maintenance. Ethical considerations wer</w:t>
      </w:r>
      <w:r w:rsidR="00AA3EDE" w:rsidRPr="00F40E54">
        <w:rPr>
          <w:rFonts w:asciiTheme="majorHAnsi" w:hAnsiTheme="majorHAnsi"/>
          <w:sz w:val="24"/>
          <w:szCs w:val="24"/>
        </w:rPr>
        <w:t>e integral to t</w:t>
      </w:r>
      <w:r w:rsidR="00823A51" w:rsidRPr="00F40E54">
        <w:rPr>
          <w:rFonts w:asciiTheme="majorHAnsi" w:hAnsiTheme="majorHAnsi"/>
          <w:sz w:val="24"/>
          <w:szCs w:val="24"/>
        </w:rPr>
        <w:t xml:space="preserve">he design of the study </w:t>
      </w:r>
      <w:r w:rsidR="00AA3EDE" w:rsidRPr="00F40E54">
        <w:rPr>
          <w:rFonts w:asciiTheme="majorHAnsi" w:hAnsiTheme="majorHAnsi"/>
          <w:sz w:val="24"/>
          <w:szCs w:val="24"/>
        </w:rPr>
        <w:t xml:space="preserve">and so </w:t>
      </w:r>
      <w:r w:rsidR="00823A51" w:rsidRPr="00F40E54">
        <w:rPr>
          <w:rFonts w:asciiTheme="majorHAnsi" w:hAnsiTheme="majorHAnsi"/>
          <w:sz w:val="24"/>
          <w:szCs w:val="24"/>
        </w:rPr>
        <w:t>all of the coh</w:t>
      </w:r>
      <w:r w:rsidRPr="00F40E54">
        <w:rPr>
          <w:rFonts w:asciiTheme="majorHAnsi" w:hAnsiTheme="majorHAnsi"/>
          <w:sz w:val="24"/>
          <w:szCs w:val="24"/>
        </w:rPr>
        <w:t>ort were potential participants as</w:t>
      </w:r>
      <w:r w:rsidR="001D6A0A" w:rsidRPr="00F40E54">
        <w:rPr>
          <w:rFonts w:asciiTheme="majorHAnsi" w:hAnsiTheme="majorHAnsi"/>
          <w:sz w:val="24"/>
          <w:szCs w:val="24"/>
        </w:rPr>
        <w:t xml:space="preserve"> I wanted to avoid singling out</w:t>
      </w:r>
      <w:r w:rsidR="00AA3EDE" w:rsidRPr="00F40E54">
        <w:rPr>
          <w:rFonts w:asciiTheme="majorHAnsi" w:hAnsiTheme="majorHAnsi"/>
          <w:sz w:val="24"/>
          <w:szCs w:val="24"/>
        </w:rPr>
        <w:t xml:space="preserve"> particular learners</w:t>
      </w:r>
      <w:r w:rsidR="00823A51" w:rsidRPr="00F40E54">
        <w:rPr>
          <w:rFonts w:asciiTheme="majorHAnsi" w:hAnsiTheme="majorHAnsi"/>
          <w:sz w:val="24"/>
          <w:szCs w:val="24"/>
        </w:rPr>
        <w:t xml:space="preserve"> as causes for concern, there</w:t>
      </w:r>
      <w:r w:rsidR="001D6A0A" w:rsidRPr="00F40E54">
        <w:rPr>
          <w:rFonts w:asciiTheme="majorHAnsi" w:hAnsiTheme="majorHAnsi"/>
          <w:sz w:val="24"/>
          <w:szCs w:val="24"/>
        </w:rPr>
        <w:t>by</w:t>
      </w:r>
      <w:r w:rsidR="0002496C" w:rsidRPr="00F40E54">
        <w:rPr>
          <w:rFonts w:asciiTheme="majorHAnsi" w:hAnsiTheme="majorHAnsi"/>
          <w:sz w:val="24"/>
          <w:szCs w:val="24"/>
        </w:rPr>
        <w:t xml:space="preserve"> perceiving them as ‘problematic’.</w:t>
      </w:r>
      <w:r w:rsidR="00823A51" w:rsidRPr="00F40E54">
        <w:rPr>
          <w:rFonts w:asciiTheme="majorHAnsi" w:hAnsiTheme="majorHAnsi"/>
          <w:sz w:val="24"/>
          <w:szCs w:val="24"/>
        </w:rPr>
        <w:t xml:space="preserve"> </w:t>
      </w:r>
      <w:r w:rsidR="0002496C" w:rsidRPr="00F40E54">
        <w:rPr>
          <w:rFonts w:asciiTheme="majorHAnsi" w:hAnsiTheme="majorHAnsi"/>
          <w:sz w:val="24"/>
          <w:szCs w:val="24"/>
        </w:rPr>
        <w:t>I wanted to minimise intrusion and so determined that no learner would be re</w:t>
      </w:r>
      <w:r w:rsidR="00823A51" w:rsidRPr="00F40E54">
        <w:rPr>
          <w:rFonts w:asciiTheme="majorHAnsi" w:hAnsiTheme="majorHAnsi"/>
          <w:sz w:val="24"/>
          <w:szCs w:val="24"/>
        </w:rPr>
        <w:t xml:space="preserve">corded </w:t>
      </w:r>
      <w:r w:rsidR="00823A51" w:rsidRPr="00F40E54">
        <w:rPr>
          <w:rFonts w:asciiTheme="majorHAnsi" w:eastAsia="Times New Roman" w:hAnsiTheme="majorHAnsi" w:cs="Times New Roman"/>
          <w:sz w:val="24"/>
          <w:szCs w:val="24"/>
        </w:rPr>
        <w:t>for mo</w:t>
      </w:r>
      <w:r w:rsidR="0002496C" w:rsidRPr="00F40E54">
        <w:rPr>
          <w:rFonts w:asciiTheme="majorHAnsi" w:eastAsia="Times New Roman" w:hAnsiTheme="majorHAnsi" w:cs="Times New Roman"/>
          <w:sz w:val="24"/>
          <w:szCs w:val="24"/>
        </w:rPr>
        <w:t>re than fifteen minutes per day. (In fact the longest recording was under six minutes).</w:t>
      </w:r>
    </w:p>
    <w:p w14:paraId="2133CDDC" w14:textId="621D3854" w:rsidR="00823A51" w:rsidRPr="00F40E54" w:rsidRDefault="00AA3EDE" w:rsidP="00D77D9A">
      <w:pPr>
        <w:spacing w:line="360" w:lineRule="auto"/>
        <w:rPr>
          <w:rFonts w:asciiTheme="majorHAnsi" w:hAnsiTheme="majorHAnsi"/>
          <w:sz w:val="24"/>
          <w:szCs w:val="24"/>
        </w:rPr>
      </w:pPr>
      <w:r w:rsidRPr="00F40E54">
        <w:rPr>
          <w:rFonts w:asciiTheme="majorHAnsi" w:hAnsiTheme="majorHAnsi"/>
          <w:sz w:val="24"/>
          <w:szCs w:val="24"/>
        </w:rPr>
        <w:lastRenderedPageBreak/>
        <w:t>Consent for participation was</w:t>
      </w:r>
      <w:r w:rsidR="00823A51" w:rsidRPr="00F40E54">
        <w:rPr>
          <w:rFonts w:asciiTheme="majorHAnsi" w:hAnsiTheme="majorHAnsi"/>
          <w:sz w:val="24"/>
          <w:szCs w:val="24"/>
        </w:rPr>
        <w:t xml:space="preserve"> sought from children, parents, colleagues and the senior management of the school. The highest ethical burden was establishing informed consent </w:t>
      </w:r>
      <w:r w:rsidR="0004195B" w:rsidRPr="00F40E54">
        <w:rPr>
          <w:rFonts w:asciiTheme="majorHAnsi" w:hAnsiTheme="majorHAnsi"/>
          <w:sz w:val="24"/>
          <w:szCs w:val="24"/>
        </w:rPr>
        <w:t xml:space="preserve">or assent </w:t>
      </w:r>
      <w:r w:rsidR="00823A51" w:rsidRPr="00F40E54">
        <w:rPr>
          <w:rFonts w:asciiTheme="majorHAnsi" w:hAnsiTheme="majorHAnsi"/>
          <w:sz w:val="24"/>
          <w:szCs w:val="24"/>
        </w:rPr>
        <w:t>on the part of children given that our fiduciary relationship would be easy to exploit. To obviate this likelihood I phased the seeking of consent over a period to give them time to reflect upon what was being proposed but not so long as to lose relevance for them before the project began. I spoke to them first as a cohort choosing the language I employed to be commensurate with their receptive language attainment levels.</w:t>
      </w:r>
    </w:p>
    <w:p w14:paraId="5B6D327C" w14:textId="313CB164" w:rsidR="00823A51" w:rsidRPr="00F40E54" w:rsidRDefault="00823A51" w:rsidP="00D77D9A">
      <w:pPr>
        <w:spacing w:line="360" w:lineRule="auto"/>
        <w:rPr>
          <w:rFonts w:asciiTheme="majorHAnsi" w:eastAsia="Times New Roman" w:hAnsiTheme="majorHAnsi" w:cs="Times New Roman"/>
          <w:sz w:val="24"/>
          <w:szCs w:val="24"/>
        </w:rPr>
      </w:pPr>
      <w:r w:rsidRPr="00F40E54">
        <w:rPr>
          <w:rFonts w:asciiTheme="majorHAnsi" w:hAnsiTheme="majorHAnsi"/>
          <w:sz w:val="24"/>
          <w:szCs w:val="24"/>
        </w:rPr>
        <w:t>I familiarised the children with the tools I would employ and they were able to explore the audio equipment themselves to make sense of its function. The fol</w:t>
      </w:r>
      <w:r w:rsidR="00290D64" w:rsidRPr="00F40E54">
        <w:rPr>
          <w:rFonts w:asciiTheme="majorHAnsi" w:hAnsiTheme="majorHAnsi"/>
          <w:sz w:val="24"/>
          <w:szCs w:val="24"/>
        </w:rPr>
        <w:t>lowing day I spoke to each potential participant individually</w:t>
      </w:r>
      <w:r w:rsidRPr="00F40E54">
        <w:rPr>
          <w:rFonts w:asciiTheme="majorHAnsi" w:hAnsiTheme="majorHAnsi"/>
          <w:sz w:val="24"/>
          <w:szCs w:val="24"/>
        </w:rPr>
        <w:t xml:space="preserve"> to</w:t>
      </w:r>
      <w:r w:rsidR="007269F0" w:rsidRPr="00F40E54">
        <w:rPr>
          <w:rFonts w:asciiTheme="majorHAnsi" w:hAnsiTheme="majorHAnsi"/>
          <w:sz w:val="24"/>
          <w:szCs w:val="24"/>
        </w:rPr>
        <w:t xml:space="preserve"> ascertain their consent</w:t>
      </w:r>
      <w:r w:rsidRPr="00F40E54">
        <w:rPr>
          <w:rFonts w:asciiTheme="majorHAnsi" w:hAnsiTheme="majorHAnsi"/>
          <w:sz w:val="24"/>
          <w:szCs w:val="24"/>
        </w:rPr>
        <w:t>.</w:t>
      </w:r>
      <w:r w:rsidRPr="00F40E54">
        <w:rPr>
          <w:rFonts w:asciiTheme="majorHAnsi" w:eastAsia="Times New Roman" w:hAnsiTheme="majorHAnsi" w:cs="Times New Roman"/>
          <w:sz w:val="24"/>
          <w:szCs w:val="24"/>
        </w:rPr>
        <w:t xml:space="preserve"> I took account of demeanour and body language as well as verbal responses. On-going consent was monitored throughout the project so that recording would cease immediately if any participant appeared uncomfortable or compromised as a result of the data collection procedures.</w:t>
      </w:r>
    </w:p>
    <w:p w14:paraId="0736966B" w14:textId="1606CF67" w:rsidR="00823A51" w:rsidRPr="00F40E54" w:rsidRDefault="00823A51" w:rsidP="00D77D9A">
      <w:pPr>
        <w:spacing w:line="360" w:lineRule="auto"/>
        <w:rPr>
          <w:rFonts w:asciiTheme="majorHAnsi" w:eastAsia="Times New Roman" w:hAnsiTheme="majorHAnsi" w:cs="Times New Roman"/>
          <w:sz w:val="24"/>
          <w:szCs w:val="24"/>
        </w:rPr>
      </w:pPr>
      <w:r w:rsidRPr="00F40E54">
        <w:rPr>
          <w:rFonts w:asciiTheme="majorHAnsi" w:hAnsiTheme="majorHAnsi"/>
          <w:sz w:val="24"/>
          <w:szCs w:val="24"/>
        </w:rPr>
        <w:t xml:space="preserve">All data was anonymised </w:t>
      </w:r>
      <w:r w:rsidR="0004195B" w:rsidRPr="00F40E54">
        <w:rPr>
          <w:rFonts w:asciiTheme="majorHAnsi" w:hAnsiTheme="majorHAnsi"/>
          <w:sz w:val="24"/>
          <w:szCs w:val="24"/>
        </w:rPr>
        <w:t xml:space="preserve">by using pseudonyms </w:t>
      </w:r>
      <w:r w:rsidRPr="00F40E54">
        <w:rPr>
          <w:rFonts w:asciiTheme="majorHAnsi" w:hAnsiTheme="majorHAnsi"/>
          <w:sz w:val="24"/>
          <w:szCs w:val="24"/>
        </w:rPr>
        <w:t>and audio data was destroyed at the end of the study.</w:t>
      </w:r>
    </w:p>
    <w:p w14:paraId="334A1AA1" w14:textId="77777777" w:rsidR="00DA57C1" w:rsidRPr="00F40E54" w:rsidRDefault="00DA57C1" w:rsidP="00D77D9A">
      <w:pPr>
        <w:spacing w:line="360" w:lineRule="auto"/>
        <w:rPr>
          <w:rFonts w:asciiTheme="majorHAnsi" w:hAnsiTheme="majorHAnsi"/>
          <w:b/>
          <w:sz w:val="28"/>
          <w:szCs w:val="28"/>
        </w:rPr>
      </w:pPr>
      <w:r w:rsidRPr="00F40E54">
        <w:rPr>
          <w:rFonts w:asciiTheme="majorHAnsi" w:hAnsiTheme="majorHAnsi"/>
          <w:b/>
          <w:sz w:val="28"/>
          <w:szCs w:val="28"/>
        </w:rPr>
        <w:t>Method</w:t>
      </w:r>
    </w:p>
    <w:p w14:paraId="633C81F9" w14:textId="1814EAAA" w:rsidR="00B906C8" w:rsidRPr="00F40E54" w:rsidRDefault="006A47EA" w:rsidP="007269F0">
      <w:pPr>
        <w:spacing w:after="0" w:line="360" w:lineRule="auto"/>
        <w:rPr>
          <w:rFonts w:asciiTheme="majorHAnsi" w:hAnsiTheme="majorHAnsi"/>
          <w:sz w:val="24"/>
          <w:szCs w:val="24"/>
        </w:rPr>
      </w:pPr>
      <w:r w:rsidRPr="00F40E54">
        <w:rPr>
          <w:rFonts w:asciiTheme="majorHAnsi" w:hAnsiTheme="majorHAnsi" w:cs="Arial"/>
          <w:sz w:val="24"/>
          <w:szCs w:val="24"/>
        </w:rPr>
        <w:t xml:space="preserve">Data collection took place over five consecutive days. Each day I carried a small cloth bag over my arm containing the audio recorder. Every conflict I observed in that period was recorded by me. Every evening I listened to each recording made during that day and if it satisfied my criterion as a conflict, I transcribed it there and then.  </w:t>
      </w:r>
      <w:r w:rsidR="0004195B" w:rsidRPr="00F40E54">
        <w:rPr>
          <w:rFonts w:asciiTheme="majorHAnsi" w:hAnsiTheme="majorHAnsi"/>
          <w:sz w:val="24"/>
          <w:szCs w:val="24"/>
        </w:rPr>
        <w:t>I collected all of the data myself.</w:t>
      </w:r>
      <w:r w:rsidRPr="00F40E54">
        <w:rPr>
          <w:rFonts w:asciiTheme="majorHAnsi" w:hAnsiTheme="majorHAnsi"/>
          <w:sz w:val="24"/>
          <w:szCs w:val="24"/>
        </w:rPr>
        <w:t xml:space="preserve"> All three of the practitioners in the setting were recorded. </w:t>
      </w:r>
      <w:r w:rsidR="00B906C8" w:rsidRPr="00F40E54">
        <w:rPr>
          <w:rFonts w:asciiTheme="majorHAnsi" w:hAnsiTheme="majorHAnsi"/>
          <w:sz w:val="24"/>
          <w:szCs w:val="24"/>
        </w:rPr>
        <w:t xml:space="preserve"> My colleagues </w:t>
      </w:r>
      <w:r w:rsidRPr="00F40E54">
        <w:rPr>
          <w:rFonts w:asciiTheme="majorHAnsi" w:hAnsiTheme="majorHAnsi"/>
          <w:sz w:val="24"/>
          <w:szCs w:val="24"/>
        </w:rPr>
        <w:t xml:space="preserve">were </w:t>
      </w:r>
      <w:r w:rsidR="00B906C8" w:rsidRPr="00F40E54">
        <w:rPr>
          <w:rFonts w:asciiTheme="majorHAnsi" w:hAnsiTheme="majorHAnsi"/>
          <w:sz w:val="24"/>
          <w:szCs w:val="24"/>
        </w:rPr>
        <w:t xml:space="preserve">given no instructions other than a description of the study in the information sheet prior to its commencement. </w:t>
      </w:r>
    </w:p>
    <w:p w14:paraId="757B3587" w14:textId="77777777" w:rsidR="007269F0" w:rsidRPr="00F40E54" w:rsidRDefault="007269F0" w:rsidP="007269F0">
      <w:pPr>
        <w:spacing w:after="0" w:line="360" w:lineRule="auto"/>
        <w:rPr>
          <w:rFonts w:asciiTheme="majorHAnsi" w:hAnsiTheme="majorHAnsi"/>
          <w:sz w:val="24"/>
          <w:szCs w:val="24"/>
        </w:rPr>
      </w:pPr>
    </w:p>
    <w:p w14:paraId="6C422155" w14:textId="77777777" w:rsidR="00132583" w:rsidRPr="00F40E54" w:rsidRDefault="00132583" w:rsidP="00132583">
      <w:pPr>
        <w:spacing w:line="360" w:lineRule="auto"/>
        <w:rPr>
          <w:rStyle w:val="BookTitle"/>
          <w:rFonts w:asciiTheme="majorHAnsi" w:hAnsiTheme="majorHAnsi"/>
          <w:b w:val="0"/>
          <w:color w:val="FF0000"/>
          <w:sz w:val="28"/>
          <w:szCs w:val="28"/>
        </w:rPr>
      </w:pPr>
      <w:r w:rsidRPr="00F40E54">
        <w:rPr>
          <w:rFonts w:asciiTheme="majorHAnsi" w:eastAsia="Calibri" w:hAnsiTheme="majorHAnsi" w:cs="Arial"/>
          <w:b/>
          <w:sz w:val="28"/>
          <w:szCs w:val="28"/>
        </w:rPr>
        <w:t xml:space="preserve">Analysis </w:t>
      </w:r>
    </w:p>
    <w:p w14:paraId="4005A673" w14:textId="77777777" w:rsidR="00132583" w:rsidRPr="00F40E54" w:rsidRDefault="00132583" w:rsidP="00132583">
      <w:pPr>
        <w:spacing w:line="360" w:lineRule="auto"/>
        <w:rPr>
          <w:rFonts w:asciiTheme="majorHAnsi" w:hAnsiTheme="majorHAnsi"/>
          <w:sz w:val="24"/>
          <w:szCs w:val="24"/>
        </w:rPr>
      </w:pPr>
      <w:r w:rsidRPr="00F40E54">
        <w:rPr>
          <w:rFonts w:asciiTheme="majorHAnsi" w:hAnsiTheme="majorHAnsi"/>
          <w:sz w:val="24"/>
          <w:szCs w:val="24"/>
        </w:rPr>
        <w:t xml:space="preserve">The raison </w:t>
      </w:r>
      <w:proofErr w:type="spellStart"/>
      <w:r w:rsidRPr="00F40E54">
        <w:rPr>
          <w:rFonts w:asciiTheme="majorHAnsi" w:hAnsiTheme="majorHAnsi"/>
          <w:sz w:val="24"/>
          <w:szCs w:val="24"/>
        </w:rPr>
        <w:t>d’etre</w:t>
      </w:r>
      <w:proofErr w:type="spellEnd"/>
      <w:r w:rsidRPr="00F40E54">
        <w:rPr>
          <w:rFonts w:asciiTheme="majorHAnsi" w:hAnsiTheme="majorHAnsi"/>
          <w:sz w:val="24"/>
          <w:szCs w:val="24"/>
        </w:rPr>
        <w:t xml:space="preserve"> for the study was to evaluate practice so I was keen to avoid using pre-determined codes in my analysis which may have caused me to discount valuable data. Therefore I adopted an inductive approach, allowing the codes to ‘emerge’ (</w:t>
      </w:r>
      <w:r w:rsidRPr="00F40E54">
        <w:rPr>
          <w:rFonts w:asciiTheme="majorHAnsi" w:eastAsia="Calibri" w:hAnsiTheme="majorHAnsi" w:cs="Arial"/>
          <w:sz w:val="24"/>
          <w:szCs w:val="24"/>
        </w:rPr>
        <w:t xml:space="preserve">Cohen </w:t>
      </w:r>
      <w:proofErr w:type="spellStart"/>
      <w:r w:rsidRPr="00F40E54">
        <w:rPr>
          <w:rFonts w:asciiTheme="majorHAnsi" w:eastAsia="Calibri" w:hAnsiTheme="majorHAnsi" w:cs="Arial"/>
          <w:sz w:val="24"/>
          <w:szCs w:val="24"/>
        </w:rPr>
        <w:t>Manion</w:t>
      </w:r>
      <w:proofErr w:type="spellEnd"/>
      <w:r w:rsidRPr="00F40E54">
        <w:rPr>
          <w:rFonts w:asciiTheme="majorHAnsi" w:eastAsia="Calibri" w:hAnsiTheme="majorHAnsi" w:cs="Arial"/>
          <w:sz w:val="24"/>
          <w:szCs w:val="24"/>
        </w:rPr>
        <w:t xml:space="preserve"> and Morrison, 2007).</w:t>
      </w:r>
    </w:p>
    <w:p w14:paraId="33CF6B43" w14:textId="77777777" w:rsidR="00132583" w:rsidRPr="00F40E54" w:rsidRDefault="00132583" w:rsidP="00132583">
      <w:pPr>
        <w:spacing w:line="360" w:lineRule="auto"/>
        <w:rPr>
          <w:rFonts w:asciiTheme="majorHAnsi" w:eastAsia="Calibri" w:hAnsiTheme="majorHAnsi" w:cs="Arial"/>
          <w:sz w:val="24"/>
          <w:szCs w:val="24"/>
        </w:rPr>
      </w:pPr>
      <w:r w:rsidRPr="00F40E54">
        <w:rPr>
          <w:rFonts w:asciiTheme="majorHAnsi" w:hAnsiTheme="majorHAnsi" w:cs="Arial"/>
          <w:sz w:val="24"/>
          <w:szCs w:val="24"/>
        </w:rPr>
        <w:lastRenderedPageBreak/>
        <w:t>In my analysis each research question was addressed in turn. When asking ‘</w:t>
      </w:r>
      <w:r w:rsidRPr="00F40E54">
        <w:rPr>
          <w:rFonts w:asciiTheme="majorHAnsi" w:eastAsia="Calibri" w:hAnsiTheme="majorHAnsi" w:cs="Arial"/>
          <w:sz w:val="24"/>
          <w:szCs w:val="24"/>
        </w:rPr>
        <w:t xml:space="preserve">How did educators respond to conflicts between peers?’ </w:t>
      </w:r>
      <w:r w:rsidRPr="00F40E54">
        <w:rPr>
          <w:rFonts w:asciiTheme="majorHAnsi" w:hAnsiTheme="majorHAnsi"/>
          <w:sz w:val="24"/>
          <w:szCs w:val="24"/>
        </w:rPr>
        <w:t>I</w:t>
      </w:r>
      <w:r w:rsidRPr="00F40E54">
        <w:rPr>
          <w:rFonts w:asciiTheme="majorHAnsi" w:eastAsia="Calibri" w:hAnsiTheme="majorHAnsi" w:cs="Arial"/>
          <w:sz w:val="24"/>
          <w:szCs w:val="24"/>
        </w:rPr>
        <w:t xml:space="preserve"> categorised each event as either a cessation or a mediation strategy. Cessation approaches were characterised by educator attempts to bring the event to a close by imposition of a judgement, direction or closed question(s). Mediation approaches were characterised by educator attempts to facilitate management of the process by the parties themselves. The one event where there was no educator involvement was classed as mediation strategy since it fulfilled this criterion.</w:t>
      </w:r>
    </w:p>
    <w:p w14:paraId="3752A8E1" w14:textId="77777777" w:rsidR="00132583" w:rsidRPr="00F40E54" w:rsidRDefault="00132583" w:rsidP="00132583">
      <w:pPr>
        <w:spacing w:after="0" w:line="360" w:lineRule="auto"/>
        <w:rPr>
          <w:rFonts w:asciiTheme="majorHAnsi" w:hAnsiTheme="majorHAnsi"/>
          <w:sz w:val="24"/>
          <w:szCs w:val="24"/>
        </w:rPr>
      </w:pPr>
      <w:r w:rsidRPr="00F40E54">
        <w:rPr>
          <w:rFonts w:asciiTheme="majorHAnsi" w:hAnsiTheme="majorHAnsi"/>
          <w:sz w:val="24"/>
          <w:szCs w:val="24"/>
        </w:rPr>
        <w:t>When considering the second question ‘</w:t>
      </w:r>
      <w:r w:rsidRPr="00F40E54">
        <w:rPr>
          <w:rFonts w:asciiTheme="majorHAnsi" w:eastAsia="Calibri" w:hAnsiTheme="majorHAnsi" w:cs="Arial"/>
          <w:sz w:val="24"/>
          <w:szCs w:val="24"/>
        </w:rPr>
        <w:t>Was there evidence of educators’ attempts to support social development of learners?</w:t>
      </w:r>
      <w:r w:rsidRPr="00F40E54">
        <w:rPr>
          <w:rFonts w:asciiTheme="majorHAnsi" w:hAnsiTheme="majorHAnsi"/>
          <w:sz w:val="24"/>
          <w:szCs w:val="24"/>
        </w:rPr>
        <w:t xml:space="preserve"> I analysed the data in terms of whether educators’ responses gave opportunities for social skills rehearsal on the part of learners.</w:t>
      </w:r>
    </w:p>
    <w:p w14:paraId="79259AC6" w14:textId="77777777" w:rsidR="00132583" w:rsidRPr="00F40E54" w:rsidRDefault="00132583" w:rsidP="00132583">
      <w:pPr>
        <w:spacing w:after="0" w:line="360" w:lineRule="auto"/>
        <w:rPr>
          <w:rFonts w:asciiTheme="majorHAnsi" w:hAnsiTheme="majorHAnsi"/>
          <w:sz w:val="24"/>
          <w:szCs w:val="24"/>
        </w:rPr>
      </w:pPr>
    </w:p>
    <w:p w14:paraId="32AF925F" w14:textId="77777777" w:rsidR="00132583" w:rsidRPr="00F40E54" w:rsidRDefault="00132583" w:rsidP="00132583">
      <w:pPr>
        <w:spacing w:after="0" w:line="360" w:lineRule="auto"/>
        <w:rPr>
          <w:rFonts w:asciiTheme="majorHAnsi" w:hAnsiTheme="majorHAnsi"/>
          <w:sz w:val="24"/>
          <w:szCs w:val="24"/>
        </w:rPr>
      </w:pPr>
      <w:r w:rsidRPr="00F40E54">
        <w:rPr>
          <w:rFonts w:asciiTheme="majorHAnsi" w:hAnsiTheme="majorHAnsi"/>
          <w:sz w:val="24"/>
          <w:szCs w:val="24"/>
        </w:rPr>
        <w:t>The third research question, ‘</w:t>
      </w:r>
      <w:r w:rsidRPr="00F40E54">
        <w:rPr>
          <w:rFonts w:asciiTheme="majorHAnsi" w:eastAsia="Calibri" w:hAnsiTheme="majorHAnsi" w:cs="Arial"/>
          <w:sz w:val="24"/>
          <w:szCs w:val="24"/>
        </w:rPr>
        <w:t xml:space="preserve">Was there evidence that educators’ responses facilitated the social development of learners at the setting?’ concerned learner responses. </w:t>
      </w:r>
      <w:r w:rsidRPr="00F40E54">
        <w:rPr>
          <w:rFonts w:asciiTheme="majorHAnsi" w:hAnsiTheme="majorHAnsi"/>
          <w:sz w:val="24"/>
          <w:szCs w:val="24"/>
        </w:rPr>
        <w:t>To address the question I based my analysis on what learners did as a result of the educators’ strategies.</w:t>
      </w:r>
    </w:p>
    <w:p w14:paraId="148F047B" w14:textId="77777777" w:rsidR="00132583" w:rsidRPr="00F40E54" w:rsidRDefault="00132583" w:rsidP="00132583">
      <w:pPr>
        <w:spacing w:after="0" w:line="360" w:lineRule="auto"/>
        <w:rPr>
          <w:rFonts w:asciiTheme="majorHAnsi" w:hAnsiTheme="majorHAnsi"/>
          <w:sz w:val="24"/>
          <w:szCs w:val="24"/>
        </w:rPr>
      </w:pPr>
    </w:p>
    <w:p w14:paraId="4DAB9E7A" w14:textId="77777777" w:rsidR="00132583" w:rsidRPr="00F40E54" w:rsidRDefault="00132583" w:rsidP="00132583">
      <w:pPr>
        <w:spacing w:after="0" w:line="360" w:lineRule="auto"/>
        <w:rPr>
          <w:rFonts w:asciiTheme="majorHAnsi" w:hAnsiTheme="majorHAnsi" w:cs="Arial"/>
          <w:sz w:val="24"/>
          <w:szCs w:val="24"/>
        </w:rPr>
      </w:pPr>
      <w:r w:rsidRPr="00F40E54">
        <w:rPr>
          <w:rFonts w:asciiTheme="majorHAnsi" w:hAnsiTheme="majorHAnsi" w:cs="Arial"/>
          <w:sz w:val="24"/>
          <w:szCs w:val="24"/>
        </w:rPr>
        <w:t>I used cultural domain analysis to organise my data (Malloy and McMurray, 1996; Cohen et al 2007). Having divided the data into categories of cessation or mediation strategies, I subdivided each into whether or not the educator approaches were potentially ‘enabling.’ I then focused on what the learner responses were and coded those comparing events and refining the codes several times in an attempt to ensure consistency of interpretation and across codes. The categories of social skills which emerged were as follows:</w:t>
      </w:r>
    </w:p>
    <w:p w14:paraId="12C1631C" w14:textId="77777777" w:rsidR="007269F0" w:rsidRPr="00F40E54" w:rsidRDefault="007269F0" w:rsidP="00132583">
      <w:pPr>
        <w:spacing w:after="0" w:line="360" w:lineRule="auto"/>
        <w:rPr>
          <w:rFonts w:asciiTheme="majorHAnsi" w:hAnsiTheme="majorHAnsi" w:cs="Arial"/>
          <w:sz w:val="24"/>
          <w:szCs w:val="24"/>
        </w:rPr>
      </w:pPr>
    </w:p>
    <w:p w14:paraId="4BEB8636" w14:textId="77777777" w:rsidR="00132583" w:rsidRPr="00F40E54" w:rsidRDefault="00132583" w:rsidP="00132583">
      <w:pPr>
        <w:pStyle w:val="ListParagraph"/>
        <w:numPr>
          <w:ilvl w:val="0"/>
          <w:numId w:val="2"/>
        </w:numPr>
        <w:spacing w:after="0" w:line="360" w:lineRule="auto"/>
        <w:rPr>
          <w:rFonts w:asciiTheme="majorHAnsi" w:hAnsiTheme="majorHAnsi" w:cs="Arial"/>
          <w:sz w:val="24"/>
          <w:szCs w:val="24"/>
        </w:rPr>
      </w:pPr>
      <w:r w:rsidRPr="00F40E54">
        <w:rPr>
          <w:rFonts w:asciiTheme="majorHAnsi" w:hAnsiTheme="majorHAnsi" w:cs="Arial"/>
          <w:b/>
          <w:sz w:val="24"/>
          <w:szCs w:val="24"/>
        </w:rPr>
        <w:t>Constructive dialogue</w:t>
      </w:r>
      <w:r w:rsidRPr="00F40E54">
        <w:rPr>
          <w:rFonts w:asciiTheme="majorHAnsi" w:hAnsiTheme="majorHAnsi" w:cs="Arial"/>
          <w:sz w:val="24"/>
          <w:szCs w:val="24"/>
        </w:rPr>
        <w:t xml:space="preserve"> (engagement/acknowledgement/negotiation)</w:t>
      </w:r>
    </w:p>
    <w:p w14:paraId="2588A1EE" w14:textId="77777777" w:rsidR="00132583" w:rsidRPr="00F40E54" w:rsidRDefault="00132583" w:rsidP="00132583">
      <w:pPr>
        <w:pStyle w:val="ListParagraph"/>
        <w:numPr>
          <w:ilvl w:val="0"/>
          <w:numId w:val="2"/>
        </w:numPr>
        <w:spacing w:after="0" w:line="360" w:lineRule="auto"/>
        <w:rPr>
          <w:rFonts w:asciiTheme="majorHAnsi" w:hAnsiTheme="majorHAnsi" w:cs="Arial"/>
          <w:sz w:val="24"/>
          <w:szCs w:val="24"/>
        </w:rPr>
      </w:pPr>
      <w:r w:rsidRPr="00F40E54">
        <w:rPr>
          <w:rFonts w:asciiTheme="majorHAnsi" w:hAnsiTheme="majorHAnsi" w:cs="Arial"/>
          <w:b/>
          <w:sz w:val="24"/>
          <w:szCs w:val="24"/>
        </w:rPr>
        <w:t>Active listening</w:t>
      </w:r>
      <w:r w:rsidRPr="00F40E54">
        <w:rPr>
          <w:rFonts w:asciiTheme="majorHAnsi" w:hAnsiTheme="majorHAnsi" w:cs="Arial"/>
          <w:sz w:val="24"/>
          <w:szCs w:val="24"/>
        </w:rPr>
        <w:t xml:space="preserve"> (response – verbal or non-verbal)</w:t>
      </w:r>
    </w:p>
    <w:p w14:paraId="05B8F8E9" w14:textId="77777777" w:rsidR="00132583" w:rsidRPr="00F40E54" w:rsidRDefault="00132583" w:rsidP="00132583">
      <w:pPr>
        <w:pStyle w:val="ListParagraph"/>
        <w:numPr>
          <w:ilvl w:val="0"/>
          <w:numId w:val="2"/>
        </w:numPr>
        <w:spacing w:after="0" w:line="360" w:lineRule="auto"/>
        <w:rPr>
          <w:rFonts w:asciiTheme="majorHAnsi" w:hAnsiTheme="majorHAnsi" w:cs="Arial"/>
          <w:b/>
          <w:sz w:val="24"/>
          <w:szCs w:val="24"/>
        </w:rPr>
      </w:pPr>
      <w:r w:rsidRPr="00F40E54">
        <w:rPr>
          <w:rFonts w:asciiTheme="majorHAnsi" w:hAnsiTheme="majorHAnsi" w:cs="Arial"/>
          <w:b/>
          <w:sz w:val="24"/>
          <w:szCs w:val="24"/>
        </w:rPr>
        <w:t xml:space="preserve">Clarification of issues </w:t>
      </w:r>
    </w:p>
    <w:p w14:paraId="2431C722" w14:textId="77777777" w:rsidR="00132583" w:rsidRPr="00F40E54" w:rsidRDefault="00132583" w:rsidP="00132583">
      <w:pPr>
        <w:pStyle w:val="ListParagraph"/>
        <w:numPr>
          <w:ilvl w:val="0"/>
          <w:numId w:val="2"/>
        </w:numPr>
        <w:spacing w:after="0" w:line="360" w:lineRule="auto"/>
        <w:rPr>
          <w:rFonts w:asciiTheme="majorHAnsi" w:hAnsiTheme="majorHAnsi" w:cs="Arial"/>
          <w:b/>
          <w:sz w:val="24"/>
          <w:szCs w:val="24"/>
        </w:rPr>
      </w:pPr>
      <w:r w:rsidRPr="00F40E54">
        <w:rPr>
          <w:rFonts w:asciiTheme="majorHAnsi" w:hAnsiTheme="majorHAnsi" w:cs="Arial"/>
          <w:b/>
          <w:sz w:val="24"/>
          <w:szCs w:val="24"/>
        </w:rPr>
        <w:t xml:space="preserve">Mutualising </w:t>
      </w:r>
      <w:r w:rsidRPr="00F40E54">
        <w:rPr>
          <w:rFonts w:asciiTheme="majorHAnsi" w:hAnsiTheme="majorHAnsi" w:cs="Arial"/>
          <w:sz w:val="24"/>
          <w:szCs w:val="24"/>
        </w:rPr>
        <w:t>(recognition of shared goals or interests)</w:t>
      </w:r>
    </w:p>
    <w:p w14:paraId="24B11794" w14:textId="21B5C3B3" w:rsidR="00132583" w:rsidRPr="00F40E54" w:rsidRDefault="007269F0" w:rsidP="00D74CE7">
      <w:pPr>
        <w:pStyle w:val="ListParagraph"/>
        <w:numPr>
          <w:ilvl w:val="0"/>
          <w:numId w:val="2"/>
        </w:numPr>
        <w:spacing w:after="0" w:line="240" w:lineRule="auto"/>
        <w:rPr>
          <w:rFonts w:asciiTheme="majorHAnsi" w:hAnsiTheme="majorHAnsi"/>
          <w:sz w:val="24"/>
          <w:szCs w:val="24"/>
        </w:rPr>
      </w:pPr>
      <w:r w:rsidRPr="00F40E54">
        <w:rPr>
          <w:rFonts w:asciiTheme="majorHAnsi" w:hAnsiTheme="majorHAnsi" w:cs="Arial"/>
          <w:b/>
          <w:sz w:val="24"/>
          <w:szCs w:val="24"/>
        </w:rPr>
        <w:t>A</w:t>
      </w:r>
      <w:r w:rsidR="00132583" w:rsidRPr="00F40E54">
        <w:rPr>
          <w:rFonts w:asciiTheme="majorHAnsi" w:hAnsiTheme="majorHAnsi" w:cs="Arial"/>
          <w:b/>
          <w:sz w:val="24"/>
          <w:szCs w:val="24"/>
        </w:rPr>
        <w:t xml:space="preserve">ccommodation </w:t>
      </w:r>
      <w:r w:rsidR="00132583" w:rsidRPr="00F40E54">
        <w:rPr>
          <w:rFonts w:asciiTheme="majorHAnsi" w:hAnsiTheme="majorHAnsi" w:cs="Arial"/>
          <w:sz w:val="24"/>
          <w:szCs w:val="24"/>
        </w:rPr>
        <w:t>(</w:t>
      </w:r>
      <w:r w:rsidR="00132583" w:rsidRPr="00F40E54">
        <w:rPr>
          <w:rFonts w:asciiTheme="majorHAnsi" w:hAnsiTheme="majorHAnsi"/>
          <w:sz w:val="24"/>
          <w:szCs w:val="24"/>
        </w:rPr>
        <w:t>compromise, offer of solution, empathy, generosity, friendly overture, altruism)</w:t>
      </w:r>
    </w:p>
    <w:p w14:paraId="38E25365" w14:textId="77777777" w:rsidR="00132583" w:rsidRPr="00F40E54" w:rsidRDefault="00132583" w:rsidP="00132583">
      <w:pPr>
        <w:spacing w:after="0" w:line="360" w:lineRule="auto"/>
        <w:rPr>
          <w:rFonts w:asciiTheme="majorHAnsi" w:hAnsiTheme="majorHAnsi" w:cs="Arial"/>
          <w:b/>
          <w:sz w:val="24"/>
          <w:szCs w:val="24"/>
        </w:rPr>
      </w:pPr>
    </w:p>
    <w:p w14:paraId="5DA6203B" w14:textId="77777777" w:rsidR="00132583" w:rsidRPr="00F40E54" w:rsidRDefault="00132583" w:rsidP="00132583">
      <w:pPr>
        <w:spacing w:after="0" w:line="360" w:lineRule="auto"/>
        <w:rPr>
          <w:rFonts w:asciiTheme="majorHAnsi" w:hAnsiTheme="majorHAnsi" w:cs="Arial"/>
          <w:sz w:val="24"/>
          <w:szCs w:val="24"/>
        </w:rPr>
      </w:pPr>
      <w:r w:rsidRPr="00F40E54">
        <w:rPr>
          <w:rFonts w:asciiTheme="majorHAnsi" w:hAnsiTheme="majorHAnsi" w:cs="Arial"/>
          <w:sz w:val="24"/>
          <w:szCs w:val="24"/>
        </w:rPr>
        <w:t xml:space="preserve">These categories were then coded as to levels of educator support. </w:t>
      </w:r>
    </w:p>
    <w:p w14:paraId="492F6FC5" w14:textId="77777777" w:rsidR="00132583" w:rsidRPr="00F40E54" w:rsidRDefault="00132583" w:rsidP="00132583">
      <w:pPr>
        <w:spacing w:after="0" w:line="240" w:lineRule="auto"/>
        <w:rPr>
          <w:rFonts w:asciiTheme="majorHAnsi" w:hAnsiTheme="majorHAnsi"/>
          <w:b/>
          <w:sz w:val="28"/>
          <w:szCs w:val="28"/>
        </w:rPr>
      </w:pPr>
    </w:p>
    <w:p w14:paraId="3BDFA777" w14:textId="77777777" w:rsidR="00132583" w:rsidRPr="00F40E54" w:rsidRDefault="00132583" w:rsidP="00132583">
      <w:pPr>
        <w:spacing w:after="0" w:line="240" w:lineRule="auto"/>
        <w:ind w:left="284" w:hanging="284"/>
        <w:rPr>
          <w:rFonts w:asciiTheme="majorHAnsi" w:hAnsiTheme="majorHAnsi"/>
          <w:b/>
          <w:sz w:val="24"/>
          <w:szCs w:val="24"/>
        </w:rPr>
      </w:pPr>
    </w:p>
    <w:p w14:paraId="0E286457" w14:textId="77777777" w:rsidR="00132583" w:rsidRPr="00F40E54" w:rsidRDefault="00132583" w:rsidP="00132583">
      <w:pPr>
        <w:spacing w:after="0" w:line="360" w:lineRule="auto"/>
        <w:rPr>
          <w:rFonts w:asciiTheme="majorHAnsi" w:eastAsia="Calibri" w:hAnsiTheme="majorHAnsi" w:cs="Arial"/>
          <w:b/>
          <w:sz w:val="28"/>
          <w:szCs w:val="28"/>
        </w:rPr>
      </w:pPr>
      <w:r w:rsidRPr="00F40E54">
        <w:rPr>
          <w:rFonts w:asciiTheme="majorHAnsi" w:eastAsia="Calibri" w:hAnsiTheme="majorHAnsi" w:cs="Arial"/>
          <w:b/>
          <w:sz w:val="28"/>
          <w:szCs w:val="28"/>
        </w:rPr>
        <w:lastRenderedPageBreak/>
        <w:t xml:space="preserve">Findings </w:t>
      </w:r>
    </w:p>
    <w:p w14:paraId="117AB4E5" w14:textId="4697475F" w:rsidR="007269F0" w:rsidRPr="00F40E54" w:rsidRDefault="007269F0" w:rsidP="007269F0">
      <w:pPr>
        <w:shd w:val="clear" w:color="auto" w:fill="FFFFFF" w:themeFill="background1"/>
        <w:spacing w:line="360" w:lineRule="auto"/>
        <w:rPr>
          <w:rFonts w:asciiTheme="majorHAnsi" w:hAnsiTheme="majorHAnsi"/>
          <w:sz w:val="24"/>
          <w:szCs w:val="24"/>
        </w:rPr>
      </w:pPr>
      <w:r w:rsidRPr="00F40E54">
        <w:rPr>
          <w:rFonts w:asciiTheme="majorHAnsi" w:eastAsia="Calibri" w:hAnsiTheme="majorHAnsi" w:cs="Arial"/>
          <w:sz w:val="24"/>
          <w:szCs w:val="24"/>
        </w:rPr>
        <w:t xml:space="preserve">The results indicated </w:t>
      </w:r>
      <w:r w:rsidRPr="00F40E54">
        <w:rPr>
          <w:rFonts w:asciiTheme="majorHAnsi" w:hAnsiTheme="majorHAnsi"/>
          <w:sz w:val="24"/>
          <w:szCs w:val="24"/>
        </w:rPr>
        <w:t>educators</w:t>
      </w:r>
      <w:r w:rsidRPr="00F40E54">
        <w:rPr>
          <w:rFonts w:asciiTheme="majorHAnsi" w:hAnsiTheme="majorHAnsi"/>
          <w:sz w:val="24"/>
          <w:szCs w:val="24"/>
        </w:rPr>
        <w:t>’ responses to conflicts enabled</w:t>
      </w:r>
      <w:r w:rsidRPr="00F40E54">
        <w:rPr>
          <w:rFonts w:asciiTheme="majorHAnsi" w:hAnsiTheme="majorHAnsi"/>
          <w:sz w:val="24"/>
          <w:szCs w:val="24"/>
        </w:rPr>
        <w:t xml:space="preserve"> learning opportunities in emotional, social and language domains. </w:t>
      </w:r>
      <w:r w:rsidRPr="00F40E54">
        <w:rPr>
          <w:rFonts w:asciiTheme="majorHAnsi" w:hAnsiTheme="majorHAnsi"/>
          <w:sz w:val="24"/>
          <w:szCs w:val="24"/>
        </w:rPr>
        <w:t>Learning opportunities were enabled where ed</w:t>
      </w:r>
      <w:r w:rsidRPr="00F40E54">
        <w:rPr>
          <w:rFonts w:asciiTheme="majorHAnsi" w:hAnsiTheme="majorHAnsi"/>
          <w:sz w:val="24"/>
          <w:szCs w:val="24"/>
        </w:rPr>
        <w:t>ucators were neutral in approach; listened; invited dialogue between the parties; explored issues by questioning rather than directing; clarified positions; mutualised areas of agreement; offered solutions; acknowledged feelings and affirmed pro-social conduct. Aside from directing the parties to meet, no directives were given.</w:t>
      </w:r>
    </w:p>
    <w:p w14:paraId="2B7A6CF1" w14:textId="77777777" w:rsidR="007269F0" w:rsidRPr="00F40E54" w:rsidRDefault="007269F0" w:rsidP="007269F0">
      <w:pPr>
        <w:shd w:val="clear" w:color="auto" w:fill="FFFFFF" w:themeFill="background1"/>
        <w:spacing w:line="360" w:lineRule="auto"/>
        <w:rPr>
          <w:rFonts w:asciiTheme="majorHAnsi" w:eastAsia="Calibri" w:hAnsiTheme="majorHAnsi" w:cs="Arial"/>
          <w:sz w:val="24"/>
          <w:szCs w:val="24"/>
        </w:rPr>
      </w:pPr>
      <w:r w:rsidRPr="00F40E54">
        <w:rPr>
          <w:rFonts w:asciiTheme="majorHAnsi" w:hAnsiTheme="majorHAnsi"/>
          <w:sz w:val="24"/>
          <w:szCs w:val="24"/>
        </w:rPr>
        <w:t>Learners were enabled with or without support to engage in dialogue, listening, clarifying issues, mutualising and problem solving. Problems were articulated and sometimes solutions generated. Learners were</w:t>
      </w:r>
      <w:r w:rsidRPr="00F40E54">
        <w:rPr>
          <w:rFonts w:asciiTheme="majorHAnsi" w:eastAsia="Calibri" w:hAnsiTheme="majorHAnsi" w:cs="Arial"/>
          <w:sz w:val="24"/>
          <w:szCs w:val="24"/>
        </w:rPr>
        <w:t xml:space="preserve"> enabled to practise several skills intrinsic to social development from a Vygotskian social constructivist perspective. </w:t>
      </w:r>
      <w:r w:rsidRPr="00F40E54">
        <w:rPr>
          <w:rFonts w:asciiTheme="majorHAnsi" w:hAnsiTheme="majorHAnsi"/>
          <w:sz w:val="24"/>
          <w:szCs w:val="24"/>
        </w:rPr>
        <w:t>Language plays an important role in social cognitive development (</w:t>
      </w:r>
      <w:r w:rsidRPr="00F40E54">
        <w:rPr>
          <w:rFonts w:asciiTheme="majorHAnsi" w:eastAsia="Calibri" w:hAnsiTheme="majorHAnsi" w:cs="Arial"/>
          <w:sz w:val="24"/>
          <w:szCs w:val="24"/>
        </w:rPr>
        <w:t>Bayer et al, 1995; Vygotsky, 1978).According to Vygotsky, (1978) using speech as an interpersonal function precedes the development of its intrapersonal use as a problem-solving tool. In several of the conflict events children engaged in ‘self-talk’ as well as social speech.</w:t>
      </w:r>
    </w:p>
    <w:p w14:paraId="60C8B83A" w14:textId="4F25C127" w:rsidR="0024641A" w:rsidRPr="00F40E54" w:rsidRDefault="00132583" w:rsidP="00B972B3">
      <w:pPr>
        <w:spacing w:after="0" w:line="360" w:lineRule="auto"/>
        <w:rPr>
          <w:rFonts w:asciiTheme="majorHAnsi" w:eastAsia="Calibri" w:hAnsiTheme="majorHAnsi" w:cs="Arial"/>
          <w:sz w:val="24"/>
          <w:szCs w:val="24"/>
        </w:rPr>
      </w:pPr>
      <w:r w:rsidRPr="00F40E54">
        <w:rPr>
          <w:rFonts w:asciiTheme="majorHAnsi" w:eastAsia="Calibri" w:hAnsiTheme="majorHAnsi" w:cs="Arial"/>
          <w:sz w:val="24"/>
          <w:szCs w:val="24"/>
        </w:rPr>
        <w:t>T</w:t>
      </w:r>
      <w:r w:rsidR="00BD5DC0" w:rsidRPr="00F40E54">
        <w:rPr>
          <w:rFonts w:asciiTheme="majorHAnsi" w:eastAsia="Calibri" w:hAnsiTheme="majorHAnsi" w:cs="Arial"/>
          <w:sz w:val="24"/>
          <w:szCs w:val="24"/>
        </w:rPr>
        <w:t xml:space="preserve">he relative value of each event in terms of potential learning </w:t>
      </w:r>
      <w:r w:rsidR="0024641A" w:rsidRPr="00F40E54">
        <w:rPr>
          <w:rFonts w:asciiTheme="majorHAnsi" w:eastAsia="Calibri" w:hAnsiTheme="majorHAnsi" w:cs="Arial"/>
          <w:sz w:val="24"/>
          <w:szCs w:val="24"/>
        </w:rPr>
        <w:t xml:space="preserve">is revealed by examination of the </w:t>
      </w:r>
      <w:r w:rsidR="00BD5DC0" w:rsidRPr="00F40E54">
        <w:rPr>
          <w:rFonts w:asciiTheme="majorHAnsi" w:eastAsia="Calibri" w:hAnsiTheme="majorHAnsi" w:cs="Arial"/>
          <w:sz w:val="24"/>
          <w:szCs w:val="24"/>
        </w:rPr>
        <w:t xml:space="preserve">individual event </w:t>
      </w:r>
      <w:r w:rsidR="0024641A" w:rsidRPr="00F40E54">
        <w:rPr>
          <w:rFonts w:asciiTheme="majorHAnsi" w:eastAsia="Calibri" w:hAnsiTheme="majorHAnsi" w:cs="Arial"/>
          <w:sz w:val="24"/>
          <w:szCs w:val="24"/>
        </w:rPr>
        <w:t>data. By way of illustration I have i</w:t>
      </w:r>
      <w:r w:rsidR="00BD5DC0" w:rsidRPr="00F40E54">
        <w:rPr>
          <w:rFonts w:asciiTheme="majorHAnsi" w:eastAsia="Calibri" w:hAnsiTheme="majorHAnsi" w:cs="Arial"/>
          <w:sz w:val="24"/>
          <w:szCs w:val="24"/>
        </w:rPr>
        <w:t xml:space="preserve">ncluded an annotated </w:t>
      </w:r>
      <w:r w:rsidR="00B972B3" w:rsidRPr="00F40E54">
        <w:rPr>
          <w:rFonts w:asciiTheme="majorHAnsi" w:eastAsia="Calibri" w:hAnsiTheme="majorHAnsi" w:cs="Arial"/>
          <w:sz w:val="24"/>
          <w:szCs w:val="24"/>
        </w:rPr>
        <w:t>transcript:</w:t>
      </w:r>
    </w:p>
    <w:p w14:paraId="2D8516EC" w14:textId="66BE49F3" w:rsidR="00B972B3" w:rsidRPr="00F40E54" w:rsidRDefault="00323FDA" w:rsidP="00323FDA">
      <w:pPr>
        <w:spacing w:after="0" w:line="360" w:lineRule="auto"/>
        <w:rPr>
          <w:rFonts w:asciiTheme="majorHAnsi" w:hAnsiTheme="majorHAnsi"/>
          <w:sz w:val="24"/>
          <w:szCs w:val="24"/>
        </w:rPr>
      </w:pPr>
      <w:r w:rsidRPr="00F40E54">
        <w:rPr>
          <w:rFonts w:asciiTheme="majorHAnsi" w:hAnsiTheme="majorHAnsi"/>
          <w:sz w:val="24"/>
          <w:szCs w:val="24"/>
        </w:rPr>
        <w:t>This</w:t>
      </w:r>
      <w:r w:rsidR="00380123" w:rsidRPr="00F40E54">
        <w:rPr>
          <w:rFonts w:asciiTheme="majorHAnsi" w:hAnsiTheme="majorHAnsi"/>
          <w:sz w:val="24"/>
          <w:szCs w:val="24"/>
        </w:rPr>
        <w:t xml:space="preserve"> conflict event </w:t>
      </w:r>
      <w:r w:rsidR="00B972B3" w:rsidRPr="00F40E54">
        <w:rPr>
          <w:rFonts w:asciiTheme="majorHAnsi" w:hAnsiTheme="majorHAnsi"/>
          <w:sz w:val="24"/>
          <w:szCs w:val="24"/>
        </w:rPr>
        <w:t xml:space="preserve">involved George, a boy aged 4 years 11 months and Gilbert a boy aged 5 years and 2 months. A game of pirates is taking place between Gilbert, George, Billy and Florence in the garden.  Billy alerted Olive, the educator to tell her that George had taken Gilbert’s sword. </w:t>
      </w:r>
      <w:bookmarkStart w:id="0" w:name="_GoBack"/>
      <w:bookmarkEnd w:id="0"/>
    </w:p>
    <w:tbl>
      <w:tblPr>
        <w:tblStyle w:val="TableGrid"/>
        <w:tblpPr w:leftFromText="180" w:rightFromText="180" w:vertAnchor="text" w:horzAnchor="margin" w:tblpXSpec="right" w:tblpY="278"/>
        <w:tblW w:w="0" w:type="auto"/>
        <w:tblLook w:val="04A0" w:firstRow="1" w:lastRow="0" w:firstColumn="1" w:lastColumn="0" w:noHBand="0" w:noVBand="1"/>
      </w:tblPr>
      <w:tblGrid>
        <w:gridCol w:w="1137"/>
        <w:gridCol w:w="4216"/>
        <w:gridCol w:w="3380"/>
      </w:tblGrid>
      <w:tr w:rsidR="00B972B3" w:rsidRPr="00F40E54" w14:paraId="688098BF" w14:textId="77777777" w:rsidTr="00380123">
        <w:tc>
          <w:tcPr>
            <w:tcW w:w="1137" w:type="dxa"/>
          </w:tcPr>
          <w:p w14:paraId="65CD1547" w14:textId="77777777" w:rsidR="00B972B3" w:rsidRPr="00F40E54" w:rsidRDefault="00B972B3" w:rsidP="006518B1">
            <w:pPr>
              <w:rPr>
                <w:rFonts w:asciiTheme="majorHAnsi" w:hAnsiTheme="majorHAnsi"/>
                <w:b/>
              </w:rPr>
            </w:pPr>
            <w:r w:rsidRPr="00F40E54">
              <w:rPr>
                <w:rFonts w:asciiTheme="majorHAnsi" w:hAnsiTheme="majorHAnsi"/>
                <w:b/>
              </w:rPr>
              <w:t>Transcript</w:t>
            </w:r>
          </w:p>
          <w:p w14:paraId="07B631D1" w14:textId="77777777" w:rsidR="00B972B3" w:rsidRPr="00F40E54" w:rsidRDefault="00B972B3" w:rsidP="006518B1">
            <w:pPr>
              <w:rPr>
                <w:rFonts w:asciiTheme="majorHAnsi" w:hAnsiTheme="majorHAnsi"/>
              </w:rPr>
            </w:pPr>
            <w:r w:rsidRPr="00F40E54">
              <w:rPr>
                <w:rFonts w:asciiTheme="majorHAnsi" w:hAnsiTheme="majorHAnsi"/>
                <w:b/>
              </w:rPr>
              <w:t>6</w:t>
            </w:r>
          </w:p>
        </w:tc>
        <w:tc>
          <w:tcPr>
            <w:tcW w:w="4216" w:type="dxa"/>
          </w:tcPr>
          <w:p w14:paraId="73A1DD6A" w14:textId="77777777" w:rsidR="00B972B3" w:rsidRPr="00F40E54" w:rsidRDefault="00B972B3" w:rsidP="006518B1">
            <w:pPr>
              <w:rPr>
                <w:rFonts w:asciiTheme="majorHAnsi" w:hAnsiTheme="majorHAnsi"/>
                <w:b/>
              </w:rPr>
            </w:pPr>
            <w:r w:rsidRPr="00F40E54">
              <w:rPr>
                <w:rFonts w:asciiTheme="majorHAnsi" w:hAnsiTheme="majorHAnsi"/>
                <w:b/>
              </w:rPr>
              <w:t xml:space="preserve">Exchange </w:t>
            </w:r>
          </w:p>
        </w:tc>
        <w:tc>
          <w:tcPr>
            <w:tcW w:w="3380" w:type="dxa"/>
          </w:tcPr>
          <w:p w14:paraId="23B81815" w14:textId="77777777" w:rsidR="00B972B3" w:rsidRPr="00F40E54" w:rsidRDefault="00B972B3" w:rsidP="006518B1">
            <w:pPr>
              <w:rPr>
                <w:rFonts w:asciiTheme="majorHAnsi" w:hAnsiTheme="majorHAnsi"/>
                <w:b/>
              </w:rPr>
            </w:pPr>
            <w:r w:rsidRPr="00F40E54">
              <w:rPr>
                <w:rFonts w:asciiTheme="majorHAnsi" w:hAnsiTheme="majorHAnsi"/>
                <w:b/>
              </w:rPr>
              <w:t xml:space="preserve">Mediation strategy </w:t>
            </w:r>
          </w:p>
        </w:tc>
      </w:tr>
      <w:tr w:rsidR="00B972B3" w:rsidRPr="00F40E54" w14:paraId="08A27262" w14:textId="77777777" w:rsidTr="00380123">
        <w:tc>
          <w:tcPr>
            <w:tcW w:w="1137" w:type="dxa"/>
          </w:tcPr>
          <w:p w14:paraId="2870BD4A" w14:textId="77777777" w:rsidR="00B972B3" w:rsidRPr="00F40E54" w:rsidRDefault="00B972B3" w:rsidP="006518B1">
            <w:pPr>
              <w:rPr>
                <w:rFonts w:asciiTheme="majorHAnsi" w:hAnsiTheme="majorHAnsi"/>
              </w:rPr>
            </w:pPr>
            <w:r w:rsidRPr="00F40E54">
              <w:rPr>
                <w:rFonts w:asciiTheme="majorHAnsi" w:hAnsiTheme="majorHAnsi"/>
              </w:rPr>
              <w:t>George</w:t>
            </w:r>
          </w:p>
        </w:tc>
        <w:tc>
          <w:tcPr>
            <w:tcW w:w="4216" w:type="dxa"/>
          </w:tcPr>
          <w:p w14:paraId="081A9AED" w14:textId="77777777" w:rsidR="00B972B3" w:rsidRPr="00F40E54" w:rsidRDefault="00B972B3" w:rsidP="006518B1">
            <w:pPr>
              <w:rPr>
                <w:rFonts w:asciiTheme="majorHAnsi" w:hAnsiTheme="majorHAnsi"/>
              </w:rPr>
            </w:pPr>
            <w:r w:rsidRPr="00F40E54">
              <w:rPr>
                <w:rFonts w:asciiTheme="majorHAnsi" w:hAnsiTheme="majorHAnsi"/>
              </w:rPr>
              <w:t>(Shouting) I didn’t snatch it you liar!</w:t>
            </w:r>
          </w:p>
        </w:tc>
        <w:tc>
          <w:tcPr>
            <w:tcW w:w="3380" w:type="dxa"/>
          </w:tcPr>
          <w:p w14:paraId="7FB61DCE" w14:textId="77777777" w:rsidR="00B972B3" w:rsidRPr="00F40E54" w:rsidRDefault="00B972B3" w:rsidP="006518B1">
            <w:pPr>
              <w:rPr>
                <w:rFonts w:asciiTheme="majorHAnsi" w:hAnsiTheme="majorHAnsi"/>
              </w:rPr>
            </w:pPr>
          </w:p>
        </w:tc>
      </w:tr>
      <w:tr w:rsidR="00B972B3" w:rsidRPr="00F40E54" w14:paraId="1107ADFD" w14:textId="77777777" w:rsidTr="00380123">
        <w:tc>
          <w:tcPr>
            <w:tcW w:w="1137" w:type="dxa"/>
          </w:tcPr>
          <w:p w14:paraId="5B0AC788" w14:textId="77777777" w:rsidR="00B972B3" w:rsidRPr="00F40E54" w:rsidRDefault="00B972B3" w:rsidP="006518B1">
            <w:pPr>
              <w:rPr>
                <w:rFonts w:asciiTheme="majorHAnsi" w:hAnsiTheme="majorHAnsi"/>
              </w:rPr>
            </w:pPr>
            <w:r w:rsidRPr="00F40E54">
              <w:rPr>
                <w:rFonts w:asciiTheme="majorHAnsi" w:hAnsiTheme="majorHAnsi"/>
              </w:rPr>
              <w:t>Olive</w:t>
            </w:r>
          </w:p>
        </w:tc>
        <w:tc>
          <w:tcPr>
            <w:tcW w:w="4216" w:type="dxa"/>
          </w:tcPr>
          <w:p w14:paraId="47959382" w14:textId="77777777" w:rsidR="00B972B3" w:rsidRPr="00F40E54" w:rsidRDefault="00B972B3" w:rsidP="006518B1">
            <w:pPr>
              <w:rPr>
                <w:rFonts w:asciiTheme="majorHAnsi" w:hAnsiTheme="majorHAnsi"/>
              </w:rPr>
            </w:pPr>
            <w:r w:rsidRPr="00F40E54">
              <w:rPr>
                <w:rFonts w:asciiTheme="majorHAnsi" w:hAnsiTheme="majorHAnsi"/>
              </w:rPr>
              <w:t>(Calmly) George, could you come here please?</w:t>
            </w:r>
          </w:p>
        </w:tc>
        <w:tc>
          <w:tcPr>
            <w:tcW w:w="3380" w:type="dxa"/>
          </w:tcPr>
          <w:p w14:paraId="5048B9AB" w14:textId="77777777" w:rsidR="00B972B3" w:rsidRPr="00F40E54" w:rsidRDefault="00B972B3" w:rsidP="006518B1">
            <w:pPr>
              <w:rPr>
                <w:rFonts w:asciiTheme="majorHAnsi" w:hAnsiTheme="majorHAnsi"/>
              </w:rPr>
            </w:pPr>
            <w:r w:rsidRPr="00F40E54">
              <w:rPr>
                <w:rFonts w:asciiTheme="majorHAnsi" w:hAnsiTheme="majorHAnsi"/>
              </w:rPr>
              <w:t xml:space="preserve">Neutral approach </w:t>
            </w:r>
          </w:p>
        </w:tc>
      </w:tr>
      <w:tr w:rsidR="00B972B3" w:rsidRPr="00F40E54" w14:paraId="32942FBD" w14:textId="77777777" w:rsidTr="00380123">
        <w:tc>
          <w:tcPr>
            <w:tcW w:w="1137" w:type="dxa"/>
          </w:tcPr>
          <w:p w14:paraId="6EAA86B8" w14:textId="77777777" w:rsidR="00B972B3" w:rsidRPr="00F40E54" w:rsidRDefault="00B972B3" w:rsidP="006518B1">
            <w:pPr>
              <w:rPr>
                <w:rFonts w:asciiTheme="majorHAnsi" w:hAnsiTheme="majorHAnsi"/>
              </w:rPr>
            </w:pPr>
            <w:r w:rsidRPr="00F40E54">
              <w:rPr>
                <w:rFonts w:asciiTheme="majorHAnsi" w:hAnsiTheme="majorHAnsi"/>
              </w:rPr>
              <w:t xml:space="preserve">George </w:t>
            </w:r>
          </w:p>
        </w:tc>
        <w:tc>
          <w:tcPr>
            <w:tcW w:w="4216" w:type="dxa"/>
          </w:tcPr>
          <w:p w14:paraId="1EFF2972" w14:textId="77777777" w:rsidR="00B972B3" w:rsidRPr="00F40E54" w:rsidRDefault="00B972B3" w:rsidP="006518B1">
            <w:pPr>
              <w:rPr>
                <w:rFonts w:asciiTheme="majorHAnsi" w:hAnsiTheme="majorHAnsi"/>
              </w:rPr>
            </w:pPr>
            <w:r w:rsidRPr="00F40E54">
              <w:rPr>
                <w:rFonts w:asciiTheme="majorHAnsi" w:hAnsiTheme="majorHAnsi"/>
              </w:rPr>
              <w:t xml:space="preserve">(Calmly) I didn’t snatch it. </w:t>
            </w:r>
          </w:p>
        </w:tc>
        <w:tc>
          <w:tcPr>
            <w:tcW w:w="3380" w:type="dxa"/>
          </w:tcPr>
          <w:p w14:paraId="3DE5C3C5" w14:textId="77777777" w:rsidR="00B972B3" w:rsidRPr="00F40E54" w:rsidRDefault="00B972B3" w:rsidP="006518B1">
            <w:pPr>
              <w:rPr>
                <w:rFonts w:asciiTheme="majorHAnsi" w:hAnsiTheme="majorHAnsi"/>
              </w:rPr>
            </w:pPr>
          </w:p>
        </w:tc>
      </w:tr>
      <w:tr w:rsidR="00B972B3" w:rsidRPr="00F40E54" w14:paraId="004DB1C5" w14:textId="77777777" w:rsidTr="00380123">
        <w:tc>
          <w:tcPr>
            <w:tcW w:w="1137" w:type="dxa"/>
          </w:tcPr>
          <w:p w14:paraId="79F830F6" w14:textId="77777777" w:rsidR="00B972B3" w:rsidRPr="00F40E54" w:rsidRDefault="00B972B3" w:rsidP="006518B1">
            <w:pPr>
              <w:rPr>
                <w:rFonts w:asciiTheme="majorHAnsi" w:hAnsiTheme="majorHAnsi"/>
              </w:rPr>
            </w:pPr>
            <w:r w:rsidRPr="00F40E54">
              <w:rPr>
                <w:rFonts w:asciiTheme="majorHAnsi" w:hAnsiTheme="majorHAnsi"/>
              </w:rPr>
              <w:t>Billy</w:t>
            </w:r>
          </w:p>
        </w:tc>
        <w:tc>
          <w:tcPr>
            <w:tcW w:w="4216" w:type="dxa"/>
          </w:tcPr>
          <w:p w14:paraId="417B3C43" w14:textId="77777777" w:rsidR="00B972B3" w:rsidRPr="00F40E54" w:rsidRDefault="00B972B3" w:rsidP="006518B1">
            <w:pPr>
              <w:rPr>
                <w:rFonts w:asciiTheme="majorHAnsi" w:hAnsiTheme="majorHAnsi"/>
              </w:rPr>
            </w:pPr>
            <w:r w:rsidRPr="00F40E54">
              <w:rPr>
                <w:rFonts w:asciiTheme="majorHAnsi" w:hAnsiTheme="majorHAnsi"/>
              </w:rPr>
              <w:t>(Calmly) You did</w:t>
            </w:r>
          </w:p>
        </w:tc>
        <w:tc>
          <w:tcPr>
            <w:tcW w:w="3380" w:type="dxa"/>
          </w:tcPr>
          <w:p w14:paraId="2FC3A996" w14:textId="77777777" w:rsidR="00B972B3" w:rsidRPr="00F40E54" w:rsidRDefault="00B972B3" w:rsidP="006518B1">
            <w:pPr>
              <w:rPr>
                <w:rFonts w:asciiTheme="majorHAnsi" w:hAnsiTheme="majorHAnsi"/>
              </w:rPr>
            </w:pPr>
          </w:p>
        </w:tc>
      </w:tr>
      <w:tr w:rsidR="00B972B3" w:rsidRPr="00F40E54" w14:paraId="572CBEFE" w14:textId="77777777" w:rsidTr="00380123">
        <w:tc>
          <w:tcPr>
            <w:tcW w:w="1137" w:type="dxa"/>
          </w:tcPr>
          <w:p w14:paraId="3FA9709D" w14:textId="77777777" w:rsidR="00B972B3" w:rsidRPr="00F40E54" w:rsidRDefault="00B972B3" w:rsidP="006518B1">
            <w:pPr>
              <w:rPr>
                <w:rFonts w:asciiTheme="majorHAnsi" w:hAnsiTheme="majorHAnsi"/>
              </w:rPr>
            </w:pPr>
            <w:r w:rsidRPr="00F40E54">
              <w:rPr>
                <w:rFonts w:asciiTheme="majorHAnsi" w:hAnsiTheme="majorHAnsi"/>
              </w:rPr>
              <w:t xml:space="preserve">George </w:t>
            </w:r>
          </w:p>
        </w:tc>
        <w:tc>
          <w:tcPr>
            <w:tcW w:w="4216" w:type="dxa"/>
          </w:tcPr>
          <w:p w14:paraId="62520AA8" w14:textId="77777777" w:rsidR="00B972B3" w:rsidRPr="00F40E54" w:rsidRDefault="00B972B3" w:rsidP="006518B1">
            <w:pPr>
              <w:rPr>
                <w:rFonts w:asciiTheme="majorHAnsi" w:hAnsiTheme="majorHAnsi"/>
              </w:rPr>
            </w:pPr>
            <w:r w:rsidRPr="00F40E54">
              <w:rPr>
                <w:rFonts w:asciiTheme="majorHAnsi" w:hAnsiTheme="majorHAnsi"/>
              </w:rPr>
              <w:t xml:space="preserve">I didn’t </w:t>
            </w:r>
          </w:p>
        </w:tc>
        <w:tc>
          <w:tcPr>
            <w:tcW w:w="3380" w:type="dxa"/>
          </w:tcPr>
          <w:p w14:paraId="006FAC2C" w14:textId="77777777" w:rsidR="00B972B3" w:rsidRPr="00F40E54" w:rsidRDefault="00B972B3" w:rsidP="006518B1">
            <w:pPr>
              <w:rPr>
                <w:rFonts w:asciiTheme="majorHAnsi" w:hAnsiTheme="majorHAnsi"/>
              </w:rPr>
            </w:pPr>
          </w:p>
        </w:tc>
      </w:tr>
      <w:tr w:rsidR="00B972B3" w:rsidRPr="00F40E54" w14:paraId="04F9D89D" w14:textId="77777777" w:rsidTr="00380123">
        <w:tc>
          <w:tcPr>
            <w:tcW w:w="1137" w:type="dxa"/>
          </w:tcPr>
          <w:p w14:paraId="6AA7FA27" w14:textId="77777777" w:rsidR="00B972B3" w:rsidRPr="00F40E54" w:rsidRDefault="00B972B3" w:rsidP="006518B1">
            <w:pPr>
              <w:rPr>
                <w:rFonts w:asciiTheme="majorHAnsi" w:hAnsiTheme="majorHAnsi"/>
              </w:rPr>
            </w:pPr>
            <w:r w:rsidRPr="00F40E54">
              <w:rPr>
                <w:rFonts w:asciiTheme="majorHAnsi" w:hAnsiTheme="majorHAnsi"/>
              </w:rPr>
              <w:t>Billy</w:t>
            </w:r>
          </w:p>
        </w:tc>
        <w:tc>
          <w:tcPr>
            <w:tcW w:w="4216" w:type="dxa"/>
          </w:tcPr>
          <w:p w14:paraId="49349457" w14:textId="77777777" w:rsidR="00B972B3" w:rsidRPr="00F40E54" w:rsidRDefault="00B972B3" w:rsidP="006518B1">
            <w:pPr>
              <w:rPr>
                <w:rFonts w:asciiTheme="majorHAnsi" w:hAnsiTheme="majorHAnsi"/>
              </w:rPr>
            </w:pPr>
            <w:r w:rsidRPr="00F40E54">
              <w:rPr>
                <w:rFonts w:asciiTheme="majorHAnsi" w:hAnsiTheme="majorHAnsi"/>
              </w:rPr>
              <w:t>Did</w:t>
            </w:r>
          </w:p>
        </w:tc>
        <w:tc>
          <w:tcPr>
            <w:tcW w:w="3380" w:type="dxa"/>
          </w:tcPr>
          <w:p w14:paraId="012BB636" w14:textId="77777777" w:rsidR="00B972B3" w:rsidRPr="00F40E54" w:rsidRDefault="00B972B3" w:rsidP="006518B1">
            <w:pPr>
              <w:rPr>
                <w:rFonts w:asciiTheme="majorHAnsi" w:hAnsiTheme="majorHAnsi"/>
              </w:rPr>
            </w:pPr>
          </w:p>
        </w:tc>
      </w:tr>
      <w:tr w:rsidR="00B972B3" w:rsidRPr="00F40E54" w14:paraId="12430B8B" w14:textId="77777777" w:rsidTr="00380123">
        <w:tc>
          <w:tcPr>
            <w:tcW w:w="1137" w:type="dxa"/>
          </w:tcPr>
          <w:p w14:paraId="7FF7ABD7" w14:textId="77777777" w:rsidR="00B972B3" w:rsidRPr="00F40E54" w:rsidRDefault="00B972B3" w:rsidP="006518B1">
            <w:pPr>
              <w:rPr>
                <w:rFonts w:asciiTheme="majorHAnsi" w:hAnsiTheme="majorHAnsi"/>
              </w:rPr>
            </w:pPr>
            <w:r w:rsidRPr="00F40E54">
              <w:rPr>
                <w:rFonts w:asciiTheme="majorHAnsi" w:hAnsiTheme="majorHAnsi"/>
              </w:rPr>
              <w:t>George</w:t>
            </w:r>
          </w:p>
        </w:tc>
        <w:tc>
          <w:tcPr>
            <w:tcW w:w="4216" w:type="dxa"/>
          </w:tcPr>
          <w:p w14:paraId="5B885444" w14:textId="77777777" w:rsidR="00B972B3" w:rsidRPr="00F40E54" w:rsidRDefault="00B972B3" w:rsidP="006518B1">
            <w:pPr>
              <w:rPr>
                <w:rFonts w:asciiTheme="majorHAnsi" w:hAnsiTheme="majorHAnsi"/>
              </w:rPr>
            </w:pPr>
            <w:r w:rsidRPr="00F40E54">
              <w:rPr>
                <w:rFonts w:asciiTheme="majorHAnsi" w:hAnsiTheme="majorHAnsi"/>
              </w:rPr>
              <w:t>I just said I’d give him a thousand pounds</w:t>
            </w:r>
          </w:p>
        </w:tc>
        <w:tc>
          <w:tcPr>
            <w:tcW w:w="3380" w:type="dxa"/>
          </w:tcPr>
          <w:p w14:paraId="1815AAB8" w14:textId="77777777" w:rsidR="00B972B3" w:rsidRPr="00F40E54" w:rsidRDefault="00B972B3" w:rsidP="006518B1">
            <w:pPr>
              <w:rPr>
                <w:rFonts w:asciiTheme="majorHAnsi" w:hAnsiTheme="majorHAnsi"/>
              </w:rPr>
            </w:pPr>
          </w:p>
        </w:tc>
      </w:tr>
      <w:tr w:rsidR="00B972B3" w:rsidRPr="00F40E54" w14:paraId="01AB4497" w14:textId="77777777" w:rsidTr="00380123">
        <w:tc>
          <w:tcPr>
            <w:tcW w:w="1137" w:type="dxa"/>
          </w:tcPr>
          <w:p w14:paraId="311E9DE7" w14:textId="77777777" w:rsidR="00B972B3" w:rsidRPr="00F40E54" w:rsidRDefault="00B972B3" w:rsidP="006518B1">
            <w:pPr>
              <w:rPr>
                <w:rFonts w:asciiTheme="majorHAnsi" w:hAnsiTheme="majorHAnsi"/>
              </w:rPr>
            </w:pPr>
            <w:r w:rsidRPr="00F40E54">
              <w:rPr>
                <w:rFonts w:asciiTheme="majorHAnsi" w:hAnsiTheme="majorHAnsi"/>
              </w:rPr>
              <w:t>Billy</w:t>
            </w:r>
          </w:p>
        </w:tc>
        <w:tc>
          <w:tcPr>
            <w:tcW w:w="4216" w:type="dxa"/>
          </w:tcPr>
          <w:p w14:paraId="7E9C688D" w14:textId="77777777" w:rsidR="00B972B3" w:rsidRPr="00F40E54" w:rsidRDefault="00B972B3" w:rsidP="006518B1">
            <w:pPr>
              <w:rPr>
                <w:rFonts w:asciiTheme="majorHAnsi" w:hAnsiTheme="majorHAnsi"/>
              </w:rPr>
            </w:pPr>
            <w:r w:rsidRPr="00F40E54">
              <w:rPr>
                <w:rFonts w:asciiTheme="majorHAnsi" w:hAnsiTheme="majorHAnsi"/>
              </w:rPr>
              <w:t xml:space="preserve">He didn’t </w:t>
            </w:r>
          </w:p>
        </w:tc>
        <w:tc>
          <w:tcPr>
            <w:tcW w:w="3380" w:type="dxa"/>
          </w:tcPr>
          <w:p w14:paraId="5163EDEC" w14:textId="77777777" w:rsidR="00B972B3" w:rsidRPr="00F40E54" w:rsidRDefault="00B972B3" w:rsidP="006518B1">
            <w:pPr>
              <w:rPr>
                <w:rFonts w:asciiTheme="majorHAnsi" w:hAnsiTheme="majorHAnsi"/>
              </w:rPr>
            </w:pPr>
          </w:p>
        </w:tc>
      </w:tr>
      <w:tr w:rsidR="00B972B3" w:rsidRPr="00F40E54" w14:paraId="6D6818F7" w14:textId="77777777" w:rsidTr="00380123">
        <w:tc>
          <w:tcPr>
            <w:tcW w:w="1137" w:type="dxa"/>
          </w:tcPr>
          <w:p w14:paraId="2272FDC5" w14:textId="77777777" w:rsidR="00B972B3" w:rsidRPr="00F40E54" w:rsidRDefault="00B972B3" w:rsidP="006518B1">
            <w:pPr>
              <w:rPr>
                <w:rFonts w:asciiTheme="majorHAnsi" w:hAnsiTheme="majorHAnsi"/>
              </w:rPr>
            </w:pPr>
            <w:r w:rsidRPr="00F40E54">
              <w:rPr>
                <w:rFonts w:asciiTheme="majorHAnsi" w:hAnsiTheme="majorHAnsi"/>
              </w:rPr>
              <w:t xml:space="preserve">George </w:t>
            </w:r>
          </w:p>
        </w:tc>
        <w:tc>
          <w:tcPr>
            <w:tcW w:w="4216" w:type="dxa"/>
          </w:tcPr>
          <w:p w14:paraId="307E28CA" w14:textId="77777777" w:rsidR="00B972B3" w:rsidRPr="00F40E54" w:rsidRDefault="00B972B3" w:rsidP="006518B1">
            <w:pPr>
              <w:rPr>
                <w:rFonts w:asciiTheme="majorHAnsi" w:hAnsiTheme="majorHAnsi"/>
              </w:rPr>
            </w:pPr>
            <w:r w:rsidRPr="00F40E54">
              <w:rPr>
                <w:rFonts w:asciiTheme="majorHAnsi" w:hAnsiTheme="majorHAnsi"/>
              </w:rPr>
              <w:t>I did</w:t>
            </w:r>
          </w:p>
        </w:tc>
        <w:tc>
          <w:tcPr>
            <w:tcW w:w="3380" w:type="dxa"/>
          </w:tcPr>
          <w:p w14:paraId="72EF9D07" w14:textId="77777777" w:rsidR="00B972B3" w:rsidRPr="00F40E54" w:rsidRDefault="00B972B3" w:rsidP="006518B1">
            <w:pPr>
              <w:rPr>
                <w:rFonts w:asciiTheme="majorHAnsi" w:hAnsiTheme="majorHAnsi"/>
              </w:rPr>
            </w:pPr>
          </w:p>
        </w:tc>
      </w:tr>
      <w:tr w:rsidR="00B972B3" w:rsidRPr="00F40E54" w14:paraId="64511FCB" w14:textId="77777777" w:rsidTr="00380123">
        <w:tc>
          <w:tcPr>
            <w:tcW w:w="1137" w:type="dxa"/>
          </w:tcPr>
          <w:p w14:paraId="4D92ACA6" w14:textId="77777777" w:rsidR="00B972B3" w:rsidRPr="00F40E54" w:rsidRDefault="00B972B3" w:rsidP="006518B1">
            <w:pPr>
              <w:rPr>
                <w:rFonts w:asciiTheme="majorHAnsi" w:hAnsiTheme="majorHAnsi"/>
              </w:rPr>
            </w:pPr>
            <w:r w:rsidRPr="00F40E54">
              <w:rPr>
                <w:rFonts w:asciiTheme="majorHAnsi" w:hAnsiTheme="majorHAnsi"/>
              </w:rPr>
              <w:t>Olive</w:t>
            </w:r>
          </w:p>
        </w:tc>
        <w:tc>
          <w:tcPr>
            <w:tcW w:w="4216" w:type="dxa"/>
          </w:tcPr>
          <w:p w14:paraId="0EF62BF5" w14:textId="77777777" w:rsidR="00B972B3" w:rsidRPr="00F40E54" w:rsidRDefault="00B972B3" w:rsidP="006518B1">
            <w:pPr>
              <w:rPr>
                <w:rFonts w:asciiTheme="majorHAnsi" w:hAnsiTheme="majorHAnsi"/>
              </w:rPr>
            </w:pPr>
            <w:r w:rsidRPr="00F40E54">
              <w:rPr>
                <w:rFonts w:asciiTheme="majorHAnsi" w:hAnsiTheme="majorHAnsi"/>
              </w:rPr>
              <w:t>Gilbert, Could you come here too please? Ok, who does this involve?</w:t>
            </w:r>
          </w:p>
        </w:tc>
        <w:tc>
          <w:tcPr>
            <w:tcW w:w="3380" w:type="dxa"/>
          </w:tcPr>
          <w:p w14:paraId="15010CB4" w14:textId="77777777" w:rsidR="00B972B3" w:rsidRPr="00F40E54" w:rsidRDefault="00B972B3" w:rsidP="006518B1">
            <w:pPr>
              <w:rPr>
                <w:rFonts w:asciiTheme="majorHAnsi" w:hAnsiTheme="majorHAnsi"/>
              </w:rPr>
            </w:pPr>
            <w:r w:rsidRPr="00F40E54">
              <w:rPr>
                <w:rFonts w:asciiTheme="majorHAnsi" w:hAnsiTheme="majorHAnsi"/>
              </w:rPr>
              <w:t xml:space="preserve">Brings parties together </w:t>
            </w:r>
          </w:p>
        </w:tc>
      </w:tr>
      <w:tr w:rsidR="00B972B3" w:rsidRPr="00F40E54" w14:paraId="680F4CDA" w14:textId="77777777" w:rsidTr="00380123">
        <w:tc>
          <w:tcPr>
            <w:tcW w:w="1137" w:type="dxa"/>
          </w:tcPr>
          <w:p w14:paraId="173D96C0" w14:textId="77777777" w:rsidR="00B972B3" w:rsidRPr="00F40E54" w:rsidRDefault="00B972B3" w:rsidP="006518B1">
            <w:pPr>
              <w:rPr>
                <w:rFonts w:asciiTheme="majorHAnsi" w:hAnsiTheme="majorHAnsi"/>
              </w:rPr>
            </w:pPr>
            <w:r w:rsidRPr="00F40E54">
              <w:rPr>
                <w:rFonts w:asciiTheme="majorHAnsi" w:hAnsiTheme="majorHAnsi"/>
              </w:rPr>
              <w:lastRenderedPageBreak/>
              <w:t xml:space="preserve">George </w:t>
            </w:r>
          </w:p>
        </w:tc>
        <w:tc>
          <w:tcPr>
            <w:tcW w:w="4216" w:type="dxa"/>
          </w:tcPr>
          <w:p w14:paraId="30CCFBB9" w14:textId="77777777" w:rsidR="00B972B3" w:rsidRPr="00F40E54" w:rsidRDefault="00B972B3" w:rsidP="006518B1">
            <w:pPr>
              <w:rPr>
                <w:rFonts w:asciiTheme="majorHAnsi" w:hAnsiTheme="majorHAnsi"/>
              </w:rPr>
            </w:pPr>
            <w:r w:rsidRPr="00F40E54">
              <w:rPr>
                <w:rFonts w:asciiTheme="majorHAnsi" w:hAnsiTheme="majorHAnsi"/>
              </w:rPr>
              <w:t>I said I’d give him a thousand pounds didn’t I Gilbert?</w:t>
            </w:r>
          </w:p>
        </w:tc>
        <w:tc>
          <w:tcPr>
            <w:tcW w:w="3380" w:type="dxa"/>
          </w:tcPr>
          <w:p w14:paraId="42E1B5FC" w14:textId="77777777" w:rsidR="00B972B3" w:rsidRPr="00F40E54" w:rsidRDefault="00B972B3" w:rsidP="006518B1">
            <w:pPr>
              <w:rPr>
                <w:rFonts w:asciiTheme="majorHAnsi" w:hAnsiTheme="majorHAnsi"/>
              </w:rPr>
            </w:pPr>
          </w:p>
        </w:tc>
      </w:tr>
      <w:tr w:rsidR="00B972B3" w:rsidRPr="00F40E54" w14:paraId="7AB55653" w14:textId="77777777" w:rsidTr="00380123">
        <w:tc>
          <w:tcPr>
            <w:tcW w:w="1137" w:type="dxa"/>
          </w:tcPr>
          <w:p w14:paraId="2E042BE6" w14:textId="77777777" w:rsidR="00B972B3" w:rsidRPr="00F40E54" w:rsidRDefault="00B972B3" w:rsidP="006518B1">
            <w:pPr>
              <w:rPr>
                <w:rFonts w:asciiTheme="majorHAnsi" w:hAnsiTheme="majorHAnsi"/>
              </w:rPr>
            </w:pPr>
            <w:r w:rsidRPr="00F40E54">
              <w:rPr>
                <w:rFonts w:asciiTheme="majorHAnsi" w:hAnsiTheme="majorHAnsi"/>
              </w:rPr>
              <w:t xml:space="preserve">Olive </w:t>
            </w:r>
          </w:p>
        </w:tc>
        <w:tc>
          <w:tcPr>
            <w:tcW w:w="4216" w:type="dxa"/>
          </w:tcPr>
          <w:p w14:paraId="7114F530" w14:textId="77777777" w:rsidR="00B972B3" w:rsidRPr="00F40E54" w:rsidRDefault="00B972B3" w:rsidP="006518B1">
            <w:pPr>
              <w:rPr>
                <w:rFonts w:asciiTheme="majorHAnsi" w:hAnsiTheme="majorHAnsi"/>
              </w:rPr>
            </w:pPr>
            <w:r w:rsidRPr="00F40E54">
              <w:rPr>
                <w:rFonts w:asciiTheme="majorHAnsi" w:hAnsiTheme="majorHAnsi"/>
              </w:rPr>
              <w:t>Gilbert could you tell me, or could you tell George what happened?</w:t>
            </w:r>
          </w:p>
        </w:tc>
        <w:tc>
          <w:tcPr>
            <w:tcW w:w="3380" w:type="dxa"/>
          </w:tcPr>
          <w:p w14:paraId="4C0F1C16" w14:textId="77777777" w:rsidR="00B972B3" w:rsidRPr="00F40E54" w:rsidRDefault="00B972B3" w:rsidP="006518B1">
            <w:pPr>
              <w:rPr>
                <w:rFonts w:asciiTheme="majorHAnsi" w:hAnsiTheme="majorHAnsi"/>
              </w:rPr>
            </w:pPr>
            <w:r w:rsidRPr="00F40E54">
              <w:rPr>
                <w:rFonts w:asciiTheme="majorHAnsi" w:hAnsiTheme="majorHAnsi"/>
              </w:rPr>
              <w:t>Invites dialogue between parties</w:t>
            </w:r>
          </w:p>
        </w:tc>
      </w:tr>
      <w:tr w:rsidR="00B972B3" w:rsidRPr="00F40E54" w14:paraId="49A81E83" w14:textId="77777777" w:rsidTr="00380123">
        <w:tc>
          <w:tcPr>
            <w:tcW w:w="1137" w:type="dxa"/>
          </w:tcPr>
          <w:p w14:paraId="19BDA24B" w14:textId="77777777" w:rsidR="00B972B3" w:rsidRPr="00F40E54" w:rsidRDefault="00B972B3" w:rsidP="006518B1">
            <w:pPr>
              <w:rPr>
                <w:rFonts w:asciiTheme="majorHAnsi" w:hAnsiTheme="majorHAnsi"/>
              </w:rPr>
            </w:pPr>
            <w:r w:rsidRPr="00F40E54">
              <w:rPr>
                <w:rFonts w:asciiTheme="majorHAnsi" w:hAnsiTheme="majorHAnsi"/>
              </w:rPr>
              <w:t>Gilbert</w:t>
            </w:r>
          </w:p>
        </w:tc>
        <w:tc>
          <w:tcPr>
            <w:tcW w:w="4216" w:type="dxa"/>
          </w:tcPr>
          <w:p w14:paraId="1B07DFB4" w14:textId="77777777" w:rsidR="00B972B3" w:rsidRPr="00F40E54" w:rsidRDefault="00B972B3" w:rsidP="006518B1">
            <w:pPr>
              <w:rPr>
                <w:rFonts w:asciiTheme="majorHAnsi" w:hAnsiTheme="majorHAnsi"/>
              </w:rPr>
            </w:pPr>
            <w:r w:rsidRPr="00F40E54">
              <w:rPr>
                <w:rFonts w:asciiTheme="majorHAnsi" w:hAnsiTheme="majorHAnsi"/>
              </w:rPr>
              <w:t>He just snatched it off and said please, please, please loads of times</w:t>
            </w:r>
          </w:p>
        </w:tc>
        <w:tc>
          <w:tcPr>
            <w:tcW w:w="3380" w:type="dxa"/>
          </w:tcPr>
          <w:p w14:paraId="181DC8AC" w14:textId="77777777" w:rsidR="00B972B3" w:rsidRPr="00F40E54" w:rsidRDefault="00B972B3" w:rsidP="006518B1">
            <w:pPr>
              <w:rPr>
                <w:rFonts w:asciiTheme="majorHAnsi" w:hAnsiTheme="majorHAnsi"/>
              </w:rPr>
            </w:pPr>
          </w:p>
        </w:tc>
      </w:tr>
      <w:tr w:rsidR="00B972B3" w:rsidRPr="00F40E54" w14:paraId="0FC8080E" w14:textId="77777777" w:rsidTr="00380123">
        <w:tc>
          <w:tcPr>
            <w:tcW w:w="1137" w:type="dxa"/>
          </w:tcPr>
          <w:p w14:paraId="51A771FD" w14:textId="77777777" w:rsidR="00B972B3" w:rsidRPr="00F40E54" w:rsidRDefault="00B972B3" w:rsidP="006518B1">
            <w:pPr>
              <w:rPr>
                <w:rFonts w:asciiTheme="majorHAnsi" w:hAnsiTheme="majorHAnsi"/>
              </w:rPr>
            </w:pPr>
            <w:r w:rsidRPr="00F40E54">
              <w:rPr>
                <w:rFonts w:asciiTheme="majorHAnsi" w:hAnsiTheme="majorHAnsi"/>
              </w:rPr>
              <w:t xml:space="preserve">Olive </w:t>
            </w:r>
          </w:p>
        </w:tc>
        <w:tc>
          <w:tcPr>
            <w:tcW w:w="4216" w:type="dxa"/>
          </w:tcPr>
          <w:p w14:paraId="1FCCCE0E" w14:textId="77777777" w:rsidR="00B972B3" w:rsidRPr="00F40E54" w:rsidRDefault="00B972B3" w:rsidP="006518B1">
            <w:pPr>
              <w:rPr>
                <w:rFonts w:asciiTheme="majorHAnsi" w:hAnsiTheme="majorHAnsi"/>
              </w:rPr>
            </w:pPr>
            <w:r w:rsidRPr="00F40E54">
              <w:rPr>
                <w:rFonts w:asciiTheme="majorHAnsi" w:hAnsiTheme="majorHAnsi"/>
              </w:rPr>
              <w:t>Said please, please, please loads of times? Because you really wanted that did you? (To George)</w:t>
            </w:r>
          </w:p>
        </w:tc>
        <w:tc>
          <w:tcPr>
            <w:tcW w:w="3380" w:type="dxa"/>
          </w:tcPr>
          <w:p w14:paraId="0F09AC15" w14:textId="77777777" w:rsidR="00B972B3" w:rsidRPr="00F40E54" w:rsidRDefault="00B972B3" w:rsidP="006518B1">
            <w:pPr>
              <w:rPr>
                <w:rFonts w:asciiTheme="majorHAnsi" w:hAnsiTheme="majorHAnsi"/>
              </w:rPr>
            </w:pPr>
          </w:p>
          <w:p w14:paraId="011B4F90" w14:textId="77777777" w:rsidR="00B972B3" w:rsidRPr="00F40E54" w:rsidRDefault="00B972B3" w:rsidP="006518B1">
            <w:pPr>
              <w:rPr>
                <w:rFonts w:asciiTheme="majorHAnsi" w:hAnsiTheme="majorHAnsi"/>
              </w:rPr>
            </w:pPr>
            <w:r w:rsidRPr="00F40E54">
              <w:rPr>
                <w:rFonts w:asciiTheme="majorHAnsi" w:hAnsiTheme="majorHAnsi"/>
              </w:rPr>
              <w:t xml:space="preserve">Acknowledges feelings </w:t>
            </w:r>
          </w:p>
        </w:tc>
      </w:tr>
      <w:tr w:rsidR="00B972B3" w:rsidRPr="00F40E54" w14:paraId="5B2CBA24" w14:textId="77777777" w:rsidTr="00380123">
        <w:tc>
          <w:tcPr>
            <w:tcW w:w="1137" w:type="dxa"/>
          </w:tcPr>
          <w:p w14:paraId="07E9B22B" w14:textId="77777777" w:rsidR="00B972B3" w:rsidRPr="00F40E54" w:rsidRDefault="00B972B3" w:rsidP="006518B1">
            <w:pPr>
              <w:rPr>
                <w:rFonts w:asciiTheme="majorHAnsi" w:hAnsiTheme="majorHAnsi"/>
              </w:rPr>
            </w:pPr>
            <w:r w:rsidRPr="00F40E54">
              <w:rPr>
                <w:rFonts w:asciiTheme="majorHAnsi" w:hAnsiTheme="majorHAnsi"/>
              </w:rPr>
              <w:t xml:space="preserve">George </w:t>
            </w:r>
          </w:p>
        </w:tc>
        <w:tc>
          <w:tcPr>
            <w:tcW w:w="4216" w:type="dxa"/>
          </w:tcPr>
          <w:p w14:paraId="2B64D9A0" w14:textId="77777777" w:rsidR="00B972B3" w:rsidRPr="00F40E54" w:rsidRDefault="00B972B3" w:rsidP="006518B1">
            <w:pPr>
              <w:rPr>
                <w:rFonts w:asciiTheme="majorHAnsi" w:hAnsiTheme="majorHAnsi"/>
              </w:rPr>
            </w:pPr>
            <w:r w:rsidRPr="00F40E54">
              <w:rPr>
                <w:rFonts w:asciiTheme="majorHAnsi" w:hAnsiTheme="majorHAnsi"/>
              </w:rPr>
              <w:t xml:space="preserve"> (quietly) Yeah…</w:t>
            </w:r>
          </w:p>
        </w:tc>
        <w:tc>
          <w:tcPr>
            <w:tcW w:w="3380" w:type="dxa"/>
          </w:tcPr>
          <w:p w14:paraId="56FDA195" w14:textId="77777777" w:rsidR="00B972B3" w:rsidRPr="00F40E54" w:rsidRDefault="00B972B3" w:rsidP="006518B1">
            <w:pPr>
              <w:rPr>
                <w:rFonts w:asciiTheme="majorHAnsi" w:hAnsiTheme="majorHAnsi"/>
              </w:rPr>
            </w:pPr>
          </w:p>
        </w:tc>
      </w:tr>
      <w:tr w:rsidR="00B972B3" w:rsidRPr="00F40E54" w14:paraId="2029DF4A" w14:textId="77777777" w:rsidTr="00380123">
        <w:tc>
          <w:tcPr>
            <w:tcW w:w="1137" w:type="dxa"/>
          </w:tcPr>
          <w:p w14:paraId="5DEDD38A" w14:textId="77777777" w:rsidR="00B972B3" w:rsidRPr="00F40E54" w:rsidRDefault="00B972B3" w:rsidP="006518B1">
            <w:pPr>
              <w:rPr>
                <w:rFonts w:asciiTheme="majorHAnsi" w:hAnsiTheme="majorHAnsi"/>
              </w:rPr>
            </w:pPr>
            <w:r w:rsidRPr="00F40E54">
              <w:rPr>
                <w:rFonts w:asciiTheme="majorHAnsi" w:hAnsiTheme="majorHAnsi"/>
              </w:rPr>
              <w:t xml:space="preserve">Olive </w:t>
            </w:r>
          </w:p>
        </w:tc>
        <w:tc>
          <w:tcPr>
            <w:tcW w:w="4216" w:type="dxa"/>
          </w:tcPr>
          <w:p w14:paraId="07D93485" w14:textId="77777777" w:rsidR="00B972B3" w:rsidRPr="00F40E54" w:rsidRDefault="00B972B3" w:rsidP="006518B1">
            <w:pPr>
              <w:rPr>
                <w:rFonts w:asciiTheme="majorHAnsi" w:hAnsiTheme="majorHAnsi"/>
              </w:rPr>
            </w:pPr>
            <w:r w:rsidRPr="00F40E54">
              <w:rPr>
                <w:rFonts w:asciiTheme="majorHAnsi" w:hAnsiTheme="majorHAnsi"/>
              </w:rPr>
              <w:t>And who had it?</w:t>
            </w:r>
          </w:p>
        </w:tc>
        <w:tc>
          <w:tcPr>
            <w:tcW w:w="3380" w:type="dxa"/>
          </w:tcPr>
          <w:p w14:paraId="32C08E8F" w14:textId="77777777" w:rsidR="00B972B3" w:rsidRPr="00F40E54" w:rsidRDefault="00B972B3" w:rsidP="006518B1">
            <w:pPr>
              <w:rPr>
                <w:rFonts w:asciiTheme="majorHAnsi" w:hAnsiTheme="majorHAnsi"/>
              </w:rPr>
            </w:pPr>
            <w:r w:rsidRPr="00F40E54">
              <w:rPr>
                <w:rFonts w:asciiTheme="majorHAnsi" w:hAnsiTheme="majorHAnsi"/>
              </w:rPr>
              <w:t xml:space="preserve">Seeks clarification </w:t>
            </w:r>
          </w:p>
        </w:tc>
      </w:tr>
      <w:tr w:rsidR="00B972B3" w:rsidRPr="00F40E54" w14:paraId="4D8F857E" w14:textId="77777777" w:rsidTr="00380123">
        <w:tc>
          <w:tcPr>
            <w:tcW w:w="1137" w:type="dxa"/>
          </w:tcPr>
          <w:p w14:paraId="0167DD79" w14:textId="77777777" w:rsidR="00B972B3" w:rsidRPr="00F40E54" w:rsidRDefault="00B972B3" w:rsidP="006518B1">
            <w:pPr>
              <w:rPr>
                <w:rFonts w:asciiTheme="majorHAnsi" w:hAnsiTheme="majorHAnsi"/>
              </w:rPr>
            </w:pPr>
            <w:r w:rsidRPr="00F40E54">
              <w:rPr>
                <w:rFonts w:asciiTheme="majorHAnsi" w:hAnsiTheme="majorHAnsi"/>
              </w:rPr>
              <w:t xml:space="preserve">Gilbert </w:t>
            </w:r>
          </w:p>
        </w:tc>
        <w:tc>
          <w:tcPr>
            <w:tcW w:w="4216" w:type="dxa"/>
          </w:tcPr>
          <w:p w14:paraId="08A8184B" w14:textId="77777777" w:rsidR="00B972B3" w:rsidRPr="00F40E54" w:rsidRDefault="00B972B3" w:rsidP="006518B1">
            <w:pPr>
              <w:rPr>
                <w:rFonts w:asciiTheme="majorHAnsi" w:hAnsiTheme="majorHAnsi"/>
              </w:rPr>
            </w:pPr>
            <w:r w:rsidRPr="00F40E54">
              <w:rPr>
                <w:rFonts w:asciiTheme="majorHAnsi" w:hAnsiTheme="majorHAnsi"/>
              </w:rPr>
              <w:t xml:space="preserve">(Calmly) I had it first </w:t>
            </w:r>
          </w:p>
        </w:tc>
        <w:tc>
          <w:tcPr>
            <w:tcW w:w="3380" w:type="dxa"/>
          </w:tcPr>
          <w:p w14:paraId="33B8A49A" w14:textId="77777777" w:rsidR="00B972B3" w:rsidRPr="00F40E54" w:rsidRDefault="00B972B3" w:rsidP="006518B1">
            <w:pPr>
              <w:rPr>
                <w:rFonts w:asciiTheme="majorHAnsi" w:hAnsiTheme="majorHAnsi"/>
              </w:rPr>
            </w:pPr>
          </w:p>
        </w:tc>
      </w:tr>
      <w:tr w:rsidR="00B972B3" w:rsidRPr="00F40E54" w14:paraId="364B929E" w14:textId="77777777" w:rsidTr="00380123">
        <w:tc>
          <w:tcPr>
            <w:tcW w:w="1137" w:type="dxa"/>
          </w:tcPr>
          <w:p w14:paraId="1601174B" w14:textId="77777777" w:rsidR="00B972B3" w:rsidRPr="00F40E54" w:rsidRDefault="00B972B3" w:rsidP="006518B1">
            <w:pPr>
              <w:rPr>
                <w:rFonts w:asciiTheme="majorHAnsi" w:hAnsiTheme="majorHAnsi"/>
              </w:rPr>
            </w:pPr>
            <w:r w:rsidRPr="00F40E54">
              <w:rPr>
                <w:rFonts w:asciiTheme="majorHAnsi" w:hAnsiTheme="majorHAnsi"/>
              </w:rPr>
              <w:t xml:space="preserve">Olive </w:t>
            </w:r>
          </w:p>
        </w:tc>
        <w:tc>
          <w:tcPr>
            <w:tcW w:w="4216" w:type="dxa"/>
          </w:tcPr>
          <w:p w14:paraId="42E7523E" w14:textId="77777777" w:rsidR="00B972B3" w:rsidRPr="00F40E54" w:rsidRDefault="00B972B3" w:rsidP="006518B1">
            <w:pPr>
              <w:rPr>
                <w:rFonts w:asciiTheme="majorHAnsi" w:hAnsiTheme="majorHAnsi"/>
              </w:rPr>
            </w:pPr>
            <w:r w:rsidRPr="00F40E54">
              <w:rPr>
                <w:rFonts w:asciiTheme="majorHAnsi" w:hAnsiTheme="majorHAnsi"/>
              </w:rPr>
              <w:t>Is that right?</w:t>
            </w:r>
          </w:p>
        </w:tc>
        <w:tc>
          <w:tcPr>
            <w:tcW w:w="3380" w:type="dxa"/>
          </w:tcPr>
          <w:p w14:paraId="3F4ADEA1" w14:textId="77777777" w:rsidR="00B972B3" w:rsidRPr="00F40E54" w:rsidRDefault="00B972B3" w:rsidP="006518B1">
            <w:pPr>
              <w:rPr>
                <w:rFonts w:asciiTheme="majorHAnsi" w:hAnsiTheme="majorHAnsi"/>
              </w:rPr>
            </w:pPr>
            <w:r w:rsidRPr="00F40E54">
              <w:rPr>
                <w:rFonts w:asciiTheme="majorHAnsi" w:hAnsiTheme="majorHAnsi"/>
              </w:rPr>
              <w:t>Seeks consensus</w:t>
            </w:r>
          </w:p>
        </w:tc>
      </w:tr>
      <w:tr w:rsidR="00B972B3" w:rsidRPr="00F40E54" w14:paraId="391A0AC0" w14:textId="77777777" w:rsidTr="00380123">
        <w:tc>
          <w:tcPr>
            <w:tcW w:w="1137" w:type="dxa"/>
          </w:tcPr>
          <w:p w14:paraId="0C447FDC" w14:textId="77777777" w:rsidR="00B972B3" w:rsidRPr="00F40E54" w:rsidRDefault="00B972B3" w:rsidP="006518B1">
            <w:pPr>
              <w:rPr>
                <w:rFonts w:asciiTheme="majorHAnsi" w:hAnsiTheme="majorHAnsi"/>
              </w:rPr>
            </w:pPr>
            <w:r w:rsidRPr="00F40E54">
              <w:rPr>
                <w:rFonts w:asciiTheme="majorHAnsi" w:hAnsiTheme="majorHAnsi"/>
              </w:rPr>
              <w:t xml:space="preserve">George </w:t>
            </w:r>
          </w:p>
        </w:tc>
        <w:tc>
          <w:tcPr>
            <w:tcW w:w="4216" w:type="dxa"/>
          </w:tcPr>
          <w:p w14:paraId="3AE9C0D6" w14:textId="77777777" w:rsidR="00B972B3" w:rsidRPr="00F40E54" w:rsidRDefault="00B972B3" w:rsidP="006518B1">
            <w:pPr>
              <w:rPr>
                <w:rFonts w:asciiTheme="majorHAnsi" w:hAnsiTheme="majorHAnsi"/>
              </w:rPr>
            </w:pPr>
            <w:proofErr w:type="spellStart"/>
            <w:r w:rsidRPr="00F40E54">
              <w:rPr>
                <w:rFonts w:asciiTheme="majorHAnsi" w:hAnsiTheme="majorHAnsi"/>
              </w:rPr>
              <w:t>Mmm</w:t>
            </w:r>
            <w:proofErr w:type="spellEnd"/>
            <w:r w:rsidRPr="00F40E54">
              <w:rPr>
                <w:rFonts w:asciiTheme="majorHAnsi" w:hAnsiTheme="majorHAnsi"/>
              </w:rPr>
              <w:t>…</w:t>
            </w:r>
          </w:p>
        </w:tc>
        <w:tc>
          <w:tcPr>
            <w:tcW w:w="3380" w:type="dxa"/>
          </w:tcPr>
          <w:p w14:paraId="3497A823" w14:textId="77777777" w:rsidR="00B972B3" w:rsidRPr="00F40E54" w:rsidRDefault="00B972B3" w:rsidP="006518B1">
            <w:pPr>
              <w:rPr>
                <w:rFonts w:asciiTheme="majorHAnsi" w:hAnsiTheme="majorHAnsi"/>
              </w:rPr>
            </w:pPr>
          </w:p>
        </w:tc>
      </w:tr>
      <w:tr w:rsidR="00B972B3" w:rsidRPr="00F40E54" w14:paraId="61AD343F" w14:textId="77777777" w:rsidTr="00380123">
        <w:tc>
          <w:tcPr>
            <w:tcW w:w="1137" w:type="dxa"/>
          </w:tcPr>
          <w:p w14:paraId="371B3EE4" w14:textId="77777777" w:rsidR="00B972B3" w:rsidRPr="00F40E54" w:rsidRDefault="00B972B3" w:rsidP="006518B1">
            <w:pPr>
              <w:rPr>
                <w:rFonts w:asciiTheme="majorHAnsi" w:hAnsiTheme="majorHAnsi"/>
              </w:rPr>
            </w:pPr>
            <w:r w:rsidRPr="00F40E54">
              <w:rPr>
                <w:rFonts w:asciiTheme="majorHAnsi" w:hAnsiTheme="majorHAnsi"/>
              </w:rPr>
              <w:t>Olive</w:t>
            </w:r>
          </w:p>
        </w:tc>
        <w:tc>
          <w:tcPr>
            <w:tcW w:w="4216" w:type="dxa"/>
          </w:tcPr>
          <w:p w14:paraId="2B48942F" w14:textId="77777777" w:rsidR="00B972B3" w:rsidRPr="00F40E54" w:rsidRDefault="00B972B3" w:rsidP="006518B1">
            <w:pPr>
              <w:rPr>
                <w:rFonts w:asciiTheme="majorHAnsi" w:hAnsiTheme="majorHAnsi"/>
              </w:rPr>
            </w:pPr>
            <w:r w:rsidRPr="00F40E54">
              <w:rPr>
                <w:rFonts w:asciiTheme="majorHAnsi" w:hAnsiTheme="majorHAnsi"/>
              </w:rPr>
              <w:t>So what could we do?</w:t>
            </w:r>
          </w:p>
        </w:tc>
        <w:tc>
          <w:tcPr>
            <w:tcW w:w="3380" w:type="dxa"/>
          </w:tcPr>
          <w:p w14:paraId="1A69A35F" w14:textId="77777777" w:rsidR="00B972B3" w:rsidRPr="00F40E54" w:rsidRDefault="00B972B3" w:rsidP="006518B1">
            <w:pPr>
              <w:rPr>
                <w:rFonts w:asciiTheme="majorHAnsi" w:hAnsiTheme="majorHAnsi"/>
              </w:rPr>
            </w:pPr>
            <w:r w:rsidRPr="00F40E54">
              <w:rPr>
                <w:rFonts w:asciiTheme="majorHAnsi" w:hAnsiTheme="majorHAnsi"/>
              </w:rPr>
              <w:t xml:space="preserve">Asks learners to generate solutions </w:t>
            </w:r>
          </w:p>
        </w:tc>
      </w:tr>
      <w:tr w:rsidR="00B972B3" w:rsidRPr="00F40E54" w14:paraId="34B5D690" w14:textId="77777777" w:rsidTr="00380123">
        <w:tc>
          <w:tcPr>
            <w:tcW w:w="1137" w:type="dxa"/>
          </w:tcPr>
          <w:p w14:paraId="4CBA52B1" w14:textId="77777777" w:rsidR="00B972B3" w:rsidRPr="00F40E54" w:rsidRDefault="00B972B3" w:rsidP="006518B1">
            <w:pPr>
              <w:rPr>
                <w:rFonts w:asciiTheme="majorHAnsi" w:hAnsiTheme="majorHAnsi"/>
              </w:rPr>
            </w:pPr>
            <w:r w:rsidRPr="00F40E54">
              <w:rPr>
                <w:rFonts w:asciiTheme="majorHAnsi" w:hAnsiTheme="majorHAnsi"/>
              </w:rPr>
              <w:t>Florence</w:t>
            </w:r>
          </w:p>
        </w:tc>
        <w:tc>
          <w:tcPr>
            <w:tcW w:w="4216" w:type="dxa"/>
          </w:tcPr>
          <w:p w14:paraId="2303292B" w14:textId="77777777" w:rsidR="00B972B3" w:rsidRPr="00F40E54" w:rsidRDefault="00B972B3" w:rsidP="006518B1">
            <w:pPr>
              <w:rPr>
                <w:rFonts w:asciiTheme="majorHAnsi" w:hAnsiTheme="majorHAnsi"/>
              </w:rPr>
            </w:pPr>
            <w:r w:rsidRPr="00F40E54">
              <w:rPr>
                <w:rFonts w:asciiTheme="majorHAnsi" w:hAnsiTheme="majorHAnsi"/>
              </w:rPr>
              <w:t>Maybe… maybe, George can go first, Gilbert can go first, George can go first and Gilbert can go first</w:t>
            </w:r>
          </w:p>
        </w:tc>
        <w:tc>
          <w:tcPr>
            <w:tcW w:w="3380" w:type="dxa"/>
          </w:tcPr>
          <w:p w14:paraId="4B4F1A6E" w14:textId="77777777" w:rsidR="00B972B3" w:rsidRPr="00F40E54" w:rsidRDefault="00B972B3" w:rsidP="006518B1">
            <w:pPr>
              <w:rPr>
                <w:rFonts w:asciiTheme="majorHAnsi" w:hAnsiTheme="majorHAnsi"/>
              </w:rPr>
            </w:pPr>
          </w:p>
        </w:tc>
      </w:tr>
      <w:tr w:rsidR="00B972B3" w:rsidRPr="00F40E54" w14:paraId="7E05A3C0" w14:textId="77777777" w:rsidTr="00380123">
        <w:tc>
          <w:tcPr>
            <w:tcW w:w="1137" w:type="dxa"/>
          </w:tcPr>
          <w:p w14:paraId="3EF51BAB" w14:textId="77777777" w:rsidR="00B972B3" w:rsidRPr="00F40E54" w:rsidRDefault="00B972B3" w:rsidP="006518B1">
            <w:pPr>
              <w:rPr>
                <w:rFonts w:asciiTheme="majorHAnsi" w:hAnsiTheme="majorHAnsi"/>
              </w:rPr>
            </w:pPr>
            <w:r w:rsidRPr="00F40E54">
              <w:rPr>
                <w:rFonts w:asciiTheme="majorHAnsi" w:hAnsiTheme="majorHAnsi"/>
              </w:rPr>
              <w:t xml:space="preserve">Olive </w:t>
            </w:r>
          </w:p>
        </w:tc>
        <w:tc>
          <w:tcPr>
            <w:tcW w:w="4216" w:type="dxa"/>
          </w:tcPr>
          <w:p w14:paraId="5C33424A" w14:textId="77777777" w:rsidR="00B972B3" w:rsidRPr="00F40E54" w:rsidRDefault="00B972B3" w:rsidP="006518B1">
            <w:pPr>
              <w:rPr>
                <w:rFonts w:asciiTheme="majorHAnsi" w:hAnsiTheme="majorHAnsi"/>
              </w:rPr>
            </w:pPr>
            <w:r w:rsidRPr="00F40E54">
              <w:rPr>
                <w:rFonts w:asciiTheme="majorHAnsi" w:hAnsiTheme="majorHAnsi"/>
              </w:rPr>
              <w:t>So they could take it in turns?</w:t>
            </w:r>
          </w:p>
        </w:tc>
        <w:tc>
          <w:tcPr>
            <w:tcW w:w="3380" w:type="dxa"/>
          </w:tcPr>
          <w:p w14:paraId="3583028D" w14:textId="77777777" w:rsidR="00B972B3" w:rsidRPr="00F40E54" w:rsidRDefault="00B972B3" w:rsidP="006518B1">
            <w:pPr>
              <w:rPr>
                <w:rFonts w:asciiTheme="majorHAnsi" w:hAnsiTheme="majorHAnsi"/>
              </w:rPr>
            </w:pPr>
          </w:p>
        </w:tc>
      </w:tr>
      <w:tr w:rsidR="00B972B3" w:rsidRPr="00F40E54" w14:paraId="6BFAA469" w14:textId="77777777" w:rsidTr="00380123">
        <w:tc>
          <w:tcPr>
            <w:tcW w:w="1137" w:type="dxa"/>
          </w:tcPr>
          <w:p w14:paraId="3967F65C" w14:textId="77777777" w:rsidR="00B972B3" w:rsidRPr="00F40E54" w:rsidRDefault="00B972B3" w:rsidP="006518B1">
            <w:pPr>
              <w:rPr>
                <w:rFonts w:asciiTheme="majorHAnsi" w:hAnsiTheme="majorHAnsi"/>
              </w:rPr>
            </w:pPr>
            <w:r w:rsidRPr="00F40E54">
              <w:rPr>
                <w:rFonts w:asciiTheme="majorHAnsi" w:hAnsiTheme="majorHAnsi"/>
              </w:rPr>
              <w:t>Florence</w:t>
            </w:r>
          </w:p>
        </w:tc>
        <w:tc>
          <w:tcPr>
            <w:tcW w:w="4216" w:type="dxa"/>
          </w:tcPr>
          <w:p w14:paraId="6462F9C4" w14:textId="77777777" w:rsidR="00B972B3" w:rsidRPr="00F40E54" w:rsidRDefault="00B972B3" w:rsidP="006518B1">
            <w:pPr>
              <w:rPr>
                <w:rFonts w:asciiTheme="majorHAnsi" w:hAnsiTheme="majorHAnsi"/>
              </w:rPr>
            </w:pPr>
            <w:r w:rsidRPr="00F40E54">
              <w:rPr>
                <w:rFonts w:asciiTheme="majorHAnsi" w:hAnsiTheme="majorHAnsi"/>
              </w:rPr>
              <w:t>Yeah!</w:t>
            </w:r>
          </w:p>
        </w:tc>
        <w:tc>
          <w:tcPr>
            <w:tcW w:w="3380" w:type="dxa"/>
          </w:tcPr>
          <w:p w14:paraId="4414C5F2" w14:textId="77777777" w:rsidR="00B972B3" w:rsidRPr="00F40E54" w:rsidRDefault="00B972B3" w:rsidP="006518B1">
            <w:pPr>
              <w:rPr>
                <w:rFonts w:asciiTheme="majorHAnsi" w:hAnsiTheme="majorHAnsi"/>
              </w:rPr>
            </w:pPr>
          </w:p>
        </w:tc>
      </w:tr>
      <w:tr w:rsidR="00B972B3" w:rsidRPr="00F40E54" w14:paraId="62388857" w14:textId="77777777" w:rsidTr="00380123">
        <w:tc>
          <w:tcPr>
            <w:tcW w:w="1137" w:type="dxa"/>
          </w:tcPr>
          <w:p w14:paraId="098245A3" w14:textId="77777777" w:rsidR="00B972B3" w:rsidRPr="00F40E54" w:rsidRDefault="00B972B3" w:rsidP="006518B1">
            <w:pPr>
              <w:rPr>
                <w:rFonts w:asciiTheme="majorHAnsi" w:hAnsiTheme="majorHAnsi"/>
              </w:rPr>
            </w:pPr>
            <w:r w:rsidRPr="00F40E54">
              <w:rPr>
                <w:rFonts w:asciiTheme="majorHAnsi" w:hAnsiTheme="majorHAnsi"/>
              </w:rPr>
              <w:t xml:space="preserve">Olive </w:t>
            </w:r>
          </w:p>
        </w:tc>
        <w:tc>
          <w:tcPr>
            <w:tcW w:w="4216" w:type="dxa"/>
          </w:tcPr>
          <w:p w14:paraId="65B62A7F" w14:textId="77777777" w:rsidR="00B972B3" w:rsidRPr="00F40E54" w:rsidRDefault="00B972B3" w:rsidP="006518B1">
            <w:pPr>
              <w:rPr>
                <w:rFonts w:asciiTheme="majorHAnsi" w:hAnsiTheme="majorHAnsi"/>
              </w:rPr>
            </w:pPr>
            <w:r w:rsidRPr="00F40E54">
              <w:rPr>
                <w:rFonts w:asciiTheme="majorHAnsi" w:hAnsiTheme="majorHAnsi"/>
              </w:rPr>
              <w:t>I think taking turns is a good idea but…</w:t>
            </w:r>
          </w:p>
        </w:tc>
        <w:tc>
          <w:tcPr>
            <w:tcW w:w="3380" w:type="dxa"/>
          </w:tcPr>
          <w:p w14:paraId="18893164" w14:textId="44743205" w:rsidR="00B972B3" w:rsidRPr="00F40E54" w:rsidRDefault="00B972B3" w:rsidP="006518B1">
            <w:pPr>
              <w:rPr>
                <w:rFonts w:asciiTheme="majorHAnsi" w:hAnsiTheme="majorHAnsi"/>
              </w:rPr>
            </w:pPr>
          </w:p>
        </w:tc>
      </w:tr>
      <w:tr w:rsidR="00B972B3" w:rsidRPr="00F40E54" w14:paraId="582AA3B4" w14:textId="77777777" w:rsidTr="00380123">
        <w:tc>
          <w:tcPr>
            <w:tcW w:w="1137" w:type="dxa"/>
          </w:tcPr>
          <w:p w14:paraId="2DD36898" w14:textId="77777777" w:rsidR="00B972B3" w:rsidRPr="00F40E54" w:rsidRDefault="00B972B3" w:rsidP="006518B1">
            <w:pPr>
              <w:rPr>
                <w:rFonts w:asciiTheme="majorHAnsi" w:hAnsiTheme="majorHAnsi"/>
              </w:rPr>
            </w:pPr>
            <w:r w:rsidRPr="00F40E54">
              <w:rPr>
                <w:rFonts w:asciiTheme="majorHAnsi" w:hAnsiTheme="majorHAnsi"/>
              </w:rPr>
              <w:t xml:space="preserve">George </w:t>
            </w:r>
          </w:p>
        </w:tc>
        <w:tc>
          <w:tcPr>
            <w:tcW w:w="4216" w:type="dxa"/>
          </w:tcPr>
          <w:p w14:paraId="226053C8" w14:textId="77777777" w:rsidR="00B972B3" w:rsidRPr="00F40E54" w:rsidRDefault="00B972B3" w:rsidP="006518B1">
            <w:pPr>
              <w:rPr>
                <w:rFonts w:asciiTheme="majorHAnsi" w:hAnsiTheme="majorHAnsi"/>
              </w:rPr>
            </w:pPr>
            <w:r w:rsidRPr="00F40E54">
              <w:rPr>
                <w:rFonts w:asciiTheme="majorHAnsi" w:hAnsiTheme="majorHAnsi"/>
              </w:rPr>
              <w:t>Oh! Another good idea! You can have the hat and I can have the sword! And that’d be a good idea! Yeah? So we can both be Peter Pans.</w:t>
            </w:r>
          </w:p>
        </w:tc>
        <w:tc>
          <w:tcPr>
            <w:tcW w:w="3380" w:type="dxa"/>
          </w:tcPr>
          <w:p w14:paraId="647ADAD9" w14:textId="77777777" w:rsidR="00B972B3" w:rsidRPr="00F40E54" w:rsidRDefault="00B972B3" w:rsidP="006518B1">
            <w:pPr>
              <w:rPr>
                <w:rFonts w:asciiTheme="majorHAnsi" w:hAnsiTheme="majorHAnsi"/>
              </w:rPr>
            </w:pPr>
          </w:p>
        </w:tc>
      </w:tr>
      <w:tr w:rsidR="00B972B3" w:rsidRPr="00F40E54" w14:paraId="5A622EB7" w14:textId="77777777" w:rsidTr="00380123">
        <w:tc>
          <w:tcPr>
            <w:tcW w:w="1137" w:type="dxa"/>
          </w:tcPr>
          <w:p w14:paraId="76D7074E" w14:textId="77777777" w:rsidR="00B972B3" w:rsidRPr="00F40E54" w:rsidRDefault="00B972B3" w:rsidP="006518B1">
            <w:pPr>
              <w:rPr>
                <w:rFonts w:asciiTheme="majorHAnsi" w:hAnsiTheme="majorHAnsi"/>
              </w:rPr>
            </w:pPr>
            <w:r w:rsidRPr="00F40E54">
              <w:rPr>
                <w:rFonts w:asciiTheme="majorHAnsi" w:hAnsiTheme="majorHAnsi"/>
              </w:rPr>
              <w:t>Gilbert</w:t>
            </w:r>
          </w:p>
        </w:tc>
        <w:tc>
          <w:tcPr>
            <w:tcW w:w="4216" w:type="dxa"/>
          </w:tcPr>
          <w:p w14:paraId="32403026" w14:textId="77777777" w:rsidR="00B972B3" w:rsidRPr="00F40E54" w:rsidRDefault="00B972B3" w:rsidP="006518B1">
            <w:pPr>
              <w:rPr>
                <w:rFonts w:asciiTheme="majorHAnsi" w:hAnsiTheme="majorHAnsi"/>
              </w:rPr>
            </w:pPr>
            <w:r w:rsidRPr="00F40E54">
              <w:rPr>
                <w:rFonts w:asciiTheme="majorHAnsi" w:hAnsiTheme="majorHAnsi"/>
              </w:rPr>
              <w:t xml:space="preserve">Oh we can’t. We can’t </w:t>
            </w:r>
          </w:p>
        </w:tc>
        <w:tc>
          <w:tcPr>
            <w:tcW w:w="3380" w:type="dxa"/>
          </w:tcPr>
          <w:p w14:paraId="63840289" w14:textId="77777777" w:rsidR="00B972B3" w:rsidRPr="00F40E54" w:rsidRDefault="00B972B3" w:rsidP="006518B1">
            <w:pPr>
              <w:rPr>
                <w:rFonts w:asciiTheme="majorHAnsi" w:hAnsiTheme="majorHAnsi"/>
              </w:rPr>
            </w:pPr>
          </w:p>
        </w:tc>
      </w:tr>
      <w:tr w:rsidR="00B972B3" w:rsidRPr="00F40E54" w14:paraId="5F3F2426" w14:textId="77777777" w:rsidTr="00380123">
        <w:tc>
          <w:tcPr>
            <w:tcW w:w="1137" w:type="dxa"/>
          </w:tcPr>
          <w:p w14:paraId="03A7005F" w14:textId="77777777" w:rsidR="00B972B3" w:rsidRPr="00F40E54" w:rsidRDefault="00B972B3" w:rsidP="006518B1">
            <w:pPr>
              <w:rPr>
                <w:rFonts w:asciiTheme="majorHAnsi" w:hAnsiTheme="majorHAnsi"/>
              </w:rPr>
            </w:pPr>
            <w:r w:rsidRPr="00F40E54">
              <w:rPr>
                <w:rFonts w:asciiTheme="majorHAnsi" w:hAnsiTheme="majorHAnsi"/>
              </w:rPr>
              <w:t xml:space="preserve">Olive </w:t>
            </w:r>
          </w:p>
        </w:tc>
        <w:tc>
          <w:tcPr>
            <w:tcW w:w="4216" w:type="dxa"/>
          </w:tcPr>
          <w:p w14:paraId="38C5E07A" w14:textId="77777777" w:rsidR="00B972B3" w:rsidRPr="00F40E54" w:rsidRDefault="00B972B3" w:rsidP="006518B1">
            <w:pPr>
              <w:rPr>
                <w:rFonts w:asciiTheme="majorHAnsi" w:hAnsiTheme="majorHAnsi"/>
              </w:rPr>
            </w:pPr>
            <w:r w:rsidRPr="00F40E54">
              <w:rPr>
                <w:rFonts w:asciiTheme="majorHAnsi" w:hAnsiTheme="majorHAnsi"/>
              </w:rPr>
              <w:t>Why?</w:t>
            </w:r>
          </w:p>
        </w:tc>
        <w:tc>
          <w:tcPr>
            <w:tcW w:w="3380" w:type="dxa"/>
          </w:tcPr>
          <w:p w14:paraId="1A41895B" w14:textId="77777777" w:rsidR="00B972B3" w:rsidRPr="00F40E54" w:rsidRDefault="00B972B3" w:rsidP="006518B1">
            <w:pPr>
              <w:rPr>
                <w:rFonts w:asciiTheme="majorHAnsi" w:hAnsiTheme="majorHAnsi"/>
              </w:rPr>
            </w:pPr>
          </w:p>
        </w:tc>
      </w:tr>
      <w:tr w:rsidR="00B972B3" w:rsidRPr="00F40E54" w14:paraId="4ECEA80E" w14:textId="77777777" w:rsidTr="00380123">
        <w:tc>
          <w:tcPr>
            <w:tcW w:w="1137" w:type="dxa"/>
          </w:tcPr>
          <w:p w14:paraId="145AB992" w14:textId="77777777" w:rsidR="00B972B3" w:rsidRPr="00F40E54" w:rsidRDefault="00B972B3" w:rsidP="006518B1">
            <w:pPr>
              <w:rPr>
                <w:rFonts w:asciiTheme="majorHAnsi" w:hAnsiTheme="majorHAnsi"/>
              </w:rPr>
            </w:pPr>
            <w:r w:rsidRPr="00F40E54">
              <w:rPr>
                <w:rFonts w:asciiTheme="majorHAnsi" w:hAnsiTheme="majorHAnsi"/>
              </w:rPr>
              <w:t xml:space="preserve">Florence </w:t>
            </w:r>
          </w:p>
        </w:tc>
        <w:tc>
          <w:tcPr>
            <w:tcW w:w="4216" w:type="dxa"/>
          </w:tcPr>
          <w:p w14:paraId="778DE1DD" w14:textId="77777777" w:rsidR="00B972B3" w:rsidRPr="00F40E54" w:rsidRDefault="00B972B3" w:rsidP="006518B1">
            <w:pPr>
              <w:rPr>
                <w:rFonts w:asciiTheme="majorHAnsi" w:hAnsiTheme="majorHAnsi"/>
              </w:rPr>
            </w:pPr>
            <w:r w:rsidRPr="00F40E54">
              <w:rPr>
                <w:rFonts w:asciiTheme="majorHAnsi" w:hAnsiTheme="majorHAnsi"/>
              </w:rPr>
              <w:t>Because there’s no because there’s no…two Peter Pans</w:t>
            </w:r>
          </w:p>
        </w:tc>
        <w:tc>
          <w:tcPr>
            <w:tcW w:w="3380" w:type="dxa"/>
          </w:tcPr>
          <w:p w14:paraId="191ED499" w14:textId="77777777" w:rsidR="00B972B3" w:rsidRPr="00F40E54" w:rsidRDefault="00B972B3" w:rsidP="006518B1">
            <w:pPr>
              <w:rPr>
                <w:rFonts w:asciiTheme="majorHAnsi" w:hAnsiTheme="majorHAnsi"/>
              </w:rPr>
            </w:pPr>
          </w:p>
        </w:tc>
      </w:tr>
      <w:tr w:rsidR="00B972B3" w:rsidRPr="00F40E54" w14:paraId="35F3BFB4" w14:textId="77777777" w:rsidTr="00380123">
        <w:tc>
          <w:tcPr>
            <w:tcW w:w="1137" w:type="dxa"/>
          </w:tcPr>
          <w:p w14:paraId="6911FCF2" w14:textId="77777777" w:rsidR="00B972B3" w:rsidRPr="00F40E54" w:rsidRDefault="00B972B3" w:rsidP="006518B1">
            <w:pPr>
              <w:rPr>
                <w:rFonts w:asciiTheme="majorHAnsi" w:hAnsiTheme="majorHAnsi"/>
              </w:rPr>
            </w:pPr>
            <w:r w:rsidRPr="00F40E54">
              <w:rPr>
                <w:rFonts w:asciiTheme="majorHAnsi" w:hAnsiTheme="majorHAnsi"/>
              </w:rPr>
              <w:t xml:space="preserve">Gilbert </w:t>
            </w:r>
          </w:p>
        </w:tc>
        <w:tc>
          <w:tcPr>
            <w:tcW w:w="4216" w:type="dxa"/>
          </w:tcPr>
          <w:p w14:paraId="7221C446" w14:textId="77777777" w:rsidR="00B972B3" w:rsidRPr="00F40E54" w:rsidRDefault="00B972B3" w:rsidP="006518B1">
            <w:pPr>
              <w:rPr>
                <w:rFonts w:asciiTheme="majorHAnsi" w:hAnsiTheme="majorHAnsi"/>
              </w:rPr>
            </w:pPr>
            <w:r w:rsidRPr="00F40E54">
              <w:rPr>
                <w:rFonts w:asciiTheme="majorHAnsi" w:hAnsiTheme="majorHAnsi"/>
              </w:rPr>
              <w:t>I think we have to make two Peter Pan costumes</w:t>
            </w:r>
          </w:p>
        </w:tc>
        <w:tc>
          <w:tcPr>
            <w:tcW w:w="3380" w:type="dxa"/>
          </w:tcPr>
          <w:p w14:paraId="1473B502" w14:textId="77777777" w:rsidR="00B972B3" w:rsidRPr="00F40E54" w:rsidRDefault="00B972B3" w:rsidP="006518B1">
            <w:pPr>
              <w:rPr>
                <w:rFonts w:asciiTheme="majorHAnsi" w:hAnsiTheme="majorHAnsi"/>
              </w:rPr>
            </w:pPr>
          </w:p>
        </w:tc>
      </w:tr>
      <w:tr w:rsidR="00B972B3" w:rsidRPr="00F40E54" w14:paraId="5B0022C5" w14:textId="77777777" w:rsidTr="00380123">
        <w:tc>
          <w:tcPr>
            <w:tcW w:w="1137" w:type="dxa"/>
          </w:tcPr>
          <w:p w14:paraId="630E3C26" w14:textId="77777777" w:rsidR="00B972B3" w:rsidRPr="00F40E54" w:rsidRDefault="00B972B3" w:rsidP="006518B1">
            <w:pPr>
              <w:rPr>
                <w:rFonts w:asciiTheme="majorHAnsi" w:hAnsiTheme="majorHAnsi"/>
              </w:rPr>
            </w:pPr>
            <w:r w:rsidRPr="00F40E54">
              <w:rPr>
                <w:rFonts w:asciiTheme="majorHAnsi" w:hAnsiTheme="majorHAnsi"/>
              </w:rPr>
              <w:t xml:space="preserve">Olive </w:t>
            </w:r>
          </w:p>
        </w:tc>
        <w:tc>
          <w:tcPr>
            <w:tcW w:w="4216" w:type="dxa"/>
          </w:tcPr>
          <w:p w14:paraId="34265CE4" w14:textId="77777777" w:rsidR="00B972B3" w:rsidRPr="00F40E54" w:rsidRDefault="00B972B3" w:rsidP="006518B1">
            <w:pPr>
              <w:rPr>
                <w:rFonts w:asciiTheme="majorHAnsi" w:hAnsiTheme="majorHAnsi"/>
              </w:rPr>
            </w:pPr>
            <w:r w:rsidRPr="00F40E54">
              <w:rPr>
                <w:rFonts w:asciiTheme="majorHAnsi" w:hAnsiTheme="majorHAnsi"/>
              </w:rPr>
              <w:t>Do you? Is there any? What bit did you really want?</w:t>
            </w:r>
          </w:p>
        </w:tc>
        <w:tc>
          <w:tcPr>
            <w:tcW w:w="3380" w:type="dxa"/>
          </w:tcPr>
          <w:p w14:paraId="3EC65D90" w14:textId="77777777" w:rsidR="00B972B3" w:rsidRPr="00F40E54" w:rsidRDefault="00B972B3" w:rsidP="006518B1">
            <w:pPr>
              <w:rPr>
                <w:rFonts w:asciiTheme="majorHAnsi" w:hAnsiTheme="majorHAnsi"/>
              </w:rPr>
            </w:pPr>
          </w:p>
        </w:tc>
      </w:tr>
      <w:tr w:rsidR="00B972B3" w:rsidRPr="00F40E54" w14:paraId="172D322C" w14:textId="77777777" w:rsidTr="00380123">
        <w:tc>
          <w:tcPr>
            <w:tcW w:w="1137" w:type="dxa"/>
          </w:tcPr>
          <w:p w14:paraId="2F42C805" w14:textId="77777777" w:rsidR="00B972B3" w:rsidRPr="00F40E54" w:rsidRDefault="00B972B3" w:rsidP="006518B1">
            <w:pPr>
              <w:rPr>
                <w:rFonts w:asciiTheme="majorHAnsi" w:hAnsiTheme="majorHAnsi"/>
              </w:rPr>
            </w:pPr>
            <w:r w:rsidRPr="00F40E54">
              <w:rPr>
                <w:rFonts w:asciiTheme="majorHAnsi" w:hAnsiTheme="majorHAnsi"/>
              </w:rPr>
              <w:t>Florence</w:t>
            </w:r>
          </w:p>
        </w:tc>
        <w:tc>
          <w:tcPr>
            <w:tcW w:w="4216" w:type="dxa"/>
          </w:tcPr>
          <w:p w14:paraId="3000233C" w14:textId="77777777" w:rsidR="00B972B3" w:rsidRPr="00F40E54" w:rsidRDefault="00B972B3" w:rsidP="006518B1">
            <w:pPr>
              <w:rPr>
                <w:rFonts w:asciiTheme="majorHAnsi" w:hAnsiTheme="majorHAnsi"/>
              </w:rPr>
            </w:pPr>
            <w:r w:rsidRPr="00F40E54">
              <w:rPr>
                <w:rFonts w:asciiTheme="majorHAnsi" w:hAnsiTheme="majorHAnsi"/>
              </w:rPr>
              <w:t>I’m going to read my Peter Pan book</w:t>
            </w:r>
          </w:p>
        </w:tc>
        <w:tc>
          <w:tcPr>
            <w:tcW w:w="3380" w:type="dxa"/>
          </w:tcPr>
          <w:p w14:paraId="10549036" w14:textId="77777777" w:rsidR="00B972B3" w:rsidRPr="00F40E54" w:rsidRDefault="00B972B3" w:rsidP="006518B1">
            <w:pPr>
              <w:rPr>
                <w:rFonts w:asciiTheme="majorHAnsi" w:hAnsiTheme="majorHAnsi"/>
              </w:rPr>
            </w:pPr>
          </w:p>
        </w:tc>
      </w:tr>
      <w:tr w:rsidR="00B972B3" w:rsidRPr="00F40E54" w14:paraId="5A9132F1" w14:textId="77777777" w:rsidTr="00380123">
        <w:tc>
          <w:tcPr>
            <w:tcW w:w="1137" w:type="dxa"/>
          </w:tcPr>
          <w:p w14:paraId="3BEA918F" w14:textId="77777777" w:rsidR="00B972B3" w:rsidRPr="00F40E54" w:rsidRDefault="00B972B3" w:rsidP="006518B1">
            <w:pPr>
              <w:rPr>
                <w:rFonts w:asciiTheme="majorHAnsi" w:hAnsiTheme="majorHAnsi"/>
              </w:rPr>
            </w:pPr>
            <w:r w:rsidRPr="00F40E54">
              <w:rPr>
                <w:rFonts w:asciiTheme="majorHAnsi" w:hAnsiTheme="majorHAnsi"/>
              </w:rPr>
              <w:t>George</w:t>
            </w:r>
          </w:p>
        </w:tc>
        <w:tc>
          <w:tcPr>
            <w:tcW w:w="4216" w:type="dxa"/>
          </w:tcPr>
          <w:p w14:paraId="30DEF10B" w14:textId="77777777" w:rsidR="00B972B3" w:rsidRPr="00F40E54" w:rsidRDefault="00B972B3" w:rsidP="006518B1">
            <w:pPr>
              <w:rPr>
                <w:rFonts w:asciiTheme="majorHAnsi" w:hAnsiTheme="majorHAnsi"/>
              </w:rPr>
            </w:pPr>
            <w:r w:rsidRPr="00F40E54">
              <w:rPr>
                <w:rFonts w:asciiTheme="majorHAnsi" w:hAnsiTheme="majorHAnsi"/>
              </w:rPr>
              <w:t>I just really wanted this ( the sheath he’s wearing)</w:t>
            </w:r>
          </w:p>
        </w:tc>
        <w:tc>
          <w:tcPr>
            <w:tcW w:w="3380" w:type="dxa"/>
          </w:tcPr>
          <w:p w14:paraId="73D20185" w14:textId="77777777" w:rsidR="00B972B3" w:rsidRPr="00F40E54" w:rsidRDefault="00B972B3" w:rsidP="006518B1">
            <w:pPr>
              <w:rPr>
                <w:rFonts w:asciiTheme="majorHAnsi" w:hAnsiTheme="majorHAnsi"/>
              </w:rPr>
            </w:pPr>
          </w:p>
        </w:tc>
      </w:tr>
      <w:tr w:rsidR="00B972B3" w:rsidRPr="00F40E54" w14:paraId="36ADD874" w14:textId="77777777" w:rsidTr="00380123">
        <w:tc>
          <w:tcPr>
            <w:tcW w:w="1137" w:type="dxa"/>
          </w:tcPr>
          <w:p w14:paraId="0F5C297C" w14:textId="77777777" w:rsidR="00B972B3" w:rsidRPr="00F40E54" w:rsidRDefault="00B972B3" w:rsidP="006518B1">
            <w:pPr>
              <w:rPr>
                <w:rFonts w:asciiTheme="majorHAnsi" w:hAnsiTheme="majorHAnsi"/>
              </w:rPr>
            </w:pPr>
            <w:r w:rsidRPr="00F40E54">
              <w:rPr>
                <w:rFonts w:asciiTheme="majorHAnsi" w:hAnsiTheme="majorHAnsi"/>
              </w:rPr>
              <w:t xml:space="preserve">Olive </w:t>
            </w:r>
          </w:p>
        </w:tc>
        <w:tc>
          <w:tcPr>
            <w:tcW w:w="4216" w:type="dxa"/>
          </w:tcPr>
          <w:p w14:paraId="5DB03D08" w14:textId="77777777" w:rsidR="00B972B3" w:rsidRPr="00F40E54" w:rsidRDefault="00B972B3" w:rsidP="006518B1">
            <w:pPr>
              <w:rPr>
                <w:rFonts w:asciiTheme="majorHAnsi" w:hAnsiTheme="majorHAnsi"/>
              </w:rPr>
            </w:pPr>
            <w:r w:rsidRPr="00F40E54">
              <w:rPr>
                <w:rFonts w:asciiTheme="majorHAnsi" w:hAnsiTheme="majorHAnsi"/>
              </w:rPr>
              <w:t>You really wanted that. What about you? (To Gilbert)</w:t>
            </w:r>
          </w:p>
        </w:tc>
        <w:tc>
          <w:tcPr>
            <w:tcW w:w="3380" w:type="dxa"/>
          </w:tcPr>
          <w:p w14:paraId="4D224495" w14:textId="77777777" w:rsidR="00B972B3" w:rsidRPr="00F40E54" w:rsidRDefault="00B972B3" w:rsidP="006518B1">
            <w:pPr>
              <w:rPr>
                <w:rFonts w:asciiTheme="majorHAnsi" w:hAnsiTheme="majorHAnsi"/>
              </w:rPr>
            </w:pPr>
          </w:p>
        </w:tc>
      </w:tr>
      <w:tr w:rsidR="00B972B3" w:rsidRPr="00F40E54" w14:paraId="6B69BA4D" w14:textId="77777777" w:rsidTr="00380123">
        <w:tc>
          <w:tcPr>
            <w:tcW w:w="1137" w:type="dxa"/>
          </w:tcPr>
          <w:p w14:paraId="4655A931" w14:textId="77777777" w:rsidR="00B972B3" w:rsidRPr="00F40E54" w:rsidRDefault="00B972B3" w:rsidP="006518B1">
            <w:pPr>
              <w:rPr>
                <w:rFonts w:asciiTheme="majorHAnsi" w:hAnsiTheme="majorHAnsi"/>
              </w:rPr>
            </w:pPr>
            <w:r w:rsidRPr="00F40E54">
              <w:rPr>
                <w:rFonts w:asciiTheme="majorHAnsi" w:hAnsiTheme="majorHAnsi"/>
              </w:rPr>
              <w:t>Gilbert</w:t>
            </w:r>
          </w:p>
        </w:tc>
        <w:tc>
          <w:tcPr>
            <w:tcW w:w="4216" w:type="dxa"/>
          </w:tcPr>
          <w:p w14:paraId="5F48887A" w14:textId="77777777" w:rsidR="00B972B3" w:rsidRPr="00F40E54" w:rsidRDefault="00B972B3" w:rsidP="006518B1">
            <w:pPr>
              <w:rPr>
                <w:rFonts w:asciiTheme="majorHAnsi" w:hAnsiTheme="majorHAnsi"/>
              </w:rPr>
            </w:pPr>
            <w:proofErr w:type="spellStart"/>
            <w:r w:rsidRPr="00F40E54">
              <w:rPr>
                <w:rFonts w:asciiTheme="majorHAnsi" w:hAnsiTheme="majorHAnsi"/>
              </w:rPr>
              <w:t>Erm</w:t>
            </w:r>
            <w:proofErr w:type="spellEnd"/>
            <w:r w:rsidRPr="00F40E54">
              <w:rPr>
                <w:rFonts w:asciiTheme="majorHAnsi" w:hAnsiTheme="majorHAnsi"/>
              </w:rPr>
              <w:t xml:space="preserve">… I think we have to make Peter Pan costumes </w:t>
            </w:r>
          </w:p>
        </w:tc>
        <w:tc>
          <w:tcPr>
            <w:tcW w:w="3380" w:type="dxa"/>
          </w:tcPr>
          <w:p w14:paraId="7CA89BB0" w14:textId="77777777" w:rsidR="00B972B3" w:rsidRPr="00F40E54" w:rsidRDefault="00B972B3" w:rsidP="006518B1">
            <w:pPr>
              <w:rPr>
                <w:rFonts w:asciiTheme="majorHAnsi" w:hAnsiTheme="majorHAnsi"/>
              </w:rPr>
            </w:pPr>
          </w:p>
        </w:tc>
      </w:tr>
      <w:tr w:rsidR="00B972B3" w:rsidRPr="00F40E54" w14:paraId="77778AF5" w14:textId="77777777" w:rsidTr="00380123">
        <w:tc>
          <w:tcPr>
            <w:tcW w:w="1137" w:type="dxa"/>
          </w:tcPr>
          <w:p w14:paraId="521D167B" w14:textId="77777777" w:rsidR="00B972B3" w:rsidRPr="00F40E54" w:rsidRDefault="00B972B3" w:rsidP="006518B1">
            <w:pPr>
              <w:rPr>
                <w:rFonts w:asciiTheme="majorHAnsi" w:hAnsiTheme="majorHAnsi"/>
              </w:rPr>
            </w:pPr>
            <w:r w:rsidRPr="00F40E54">
              <w:rPr>
                <w:rFonts w:asciiTheme="majorHAnsi" w:hAnsiTheme="majorHAnsi"/>
              </w:rPr>
              <w:t>Florence</w:t>
            </w:r>
          </w:p>
        </w:tc>
        <w:tc>
          <w:tcPr>
            <w:tcW w:w="4216" w:type="dxa"/>
          </w:tcPr>
          <w:p w14:paraId="40F445EC" w14:textId="77777777" w:rsidR="00B972B3" w:rsidRPr="00F40E54" w:rsidRDefault="00B972B3" w:rsidP="006518B1">
            <w:pPr>
              <w:rPr>
                <w:rFonts w:asciiTheme="majorHAnsi" w:hAnsiTheme="majorHAnsi"/>
              </w:rPr>
            </w:pPr>
            <w:r w:rsidRPr="00F40E54">
              <w:rPr>
                <w:rFonts w:asciiTheme="majorHAnsi" w:hAnsiTheme="majorHAnsi"/>
              </w:rPr>
              <w:t>Wait, wait… I got a genius…</w:t>
            </w:r>
          </w:p>
        </w:tc>
        <w:tc>
          <w:tcPr>
            <w:tcW w:w="3380" w:type="dxa"/>
          </w:tcPr>
          <w:p w14:paraId="762B5562" w14:textId="77777777" w:rsidR="00B972B3" w:rsidRPr="00F40E54" w:rsidRDefault="00B972B3" w:rsidP="006518B1">
            <w:pPr>
              <w:rPr>
                <w:rFonts w:asciiTheme="majorHAnsi" w:hAnsiTheme="majorHAnsi"/>
              </w:rPr>
            </w:pPr>
          </w:p>
        </w:tc>
      </w:tr>
      <w:tr w:rsidR="00380123" w:rsidRPr="00F40E54" w14:paraId="01858432" w14:textId="77777777" w:rsidTr="00380123">
        <w:tc>
          <w:tcPr>
            <w:tcW w:w="1137" w:type="dxa"/>
          </w:tcPr>
          <w:p w14:paraId="401ACAAC" w14:textId="77777777" w:rsidR="00380123" w:rsidRPr="00F40E54" w:rsidRDefault="00380123" w:rsidP="00380123">
            <w:pPr>
              <w:rPr>
                <w:rFonts w:asciiTheme="majorHAnsi" w:hAnsiTheme="majorHAnsi"/>
              </w:rPr>
            </w:pPr>
            <w:r w:rsidRPr="00F40E54">
              <w:rPr>
                <w:rFonts w:asciiTheme="majorHAnsi" w:hAnsiTheme="majorHAnsi"/>
              </w:rPr>
              <w:t>Olive</w:t>
            </w:r>
          </w:p>
        </w:tc>
        <w:tc>
          <w:tcPr>
            <w:tcW w:w="4216" w:type="dxa"/>
          </w:tcPr>
          <w:p w14:paraId="5EDDF117" w14:textId="77777777" w:rsidR="00380123" w:rsidRPr="00F40E54" w:rsidRDefault="00380123" w:rsidP="00380123">
            <w:pPr>
              <w:rPr>
                <w:rFonts w:asciiTheme="majorHAnsi" w:hAnsiTheme="majorHAnsi"/>
              </w:rPr>
            </w:pPr>
            <w:r w:rsidRPr="00F40E54">
              <w:rPr>
                <w:rFonts w:asciiTheme="majorHAnsi" w:hAnsiTheme="majorHAnsi"/>
              </w:rPr>
              <w:t>Wait a minute ‘cos we need to listen to Gilbert and what he wants because he had it first. What do you think?</w:t>
            </w:r>
          </w:p>
        </w:tc>
        <w:tc>
          <w:tcPr>
            <w:tcW w:w="3380" w:type="dxa"/>
          </w:tcPr>
          <w:p w14:paraId="0376D993" w14:textId="5FE1D550" w:rsidR="00380123" w:rsidRPr="00F40E54" w:rsidRDefault="00380123" w:rsidP="00380123">
            <w:pPr>
              <w:rPr>
                <w:rFonts w:asciiTheme="majorHAnsi" w:hAnsiTheme="majorHAnsi"/>
              </w:rPr>
            </w:pPr>
            <w:r w:rsidRPr="00F40E54">
              <w:rPr>
                <w:rFonts w:asciiTheme="majorHAnsi" w:hAnsiTheme="majorHAnsi"/>
              </w:rPr>
              <w:t xml:space="preserve">Seeks to maintain ownership of process by </w:t>
            </w:r>
            <w:r w:rsidRPr="00F40E54">
              <w:rPr>
                <w:rFonts w:asciiTheme="majorHAnsi" w:hAnsiTheme="majorHAnsi"/>
              </w:rPr>
              <w:t xml:space="preserve"> protagonists </w:t>
            </w:r>
          </w:p>
        </w:tc>
      </w:tr>
      <w:tr w:rsidR="00380123" w:rsidRPr="00F40E54" w14:paraId="179C9AC8" w14:textId="77777777" w:rsidTr="00380123">
        <w:tc>
          <w:tcPr>
            <w:tcW w:w="1137" w:type="dxa"/>
          </w:tcPr>
          <w:p w14:paraId="7A2D1095" w14:textId="77777777" w:rsidR="00380123" w:rsidRPr="00F40E54" w:rsidRDefault="00380123" w:rsidP="00380123">
            <w:pPr>
              <w:rPr>
                <w:rFonts w:asciiTheme="majorHAnsi" w:hAnsiTheme="majorHAnsi"/>
              </w:rPr>
            </w:pPr>
            <w:r w:rsidRPr="00F40E54">
              <w:rPr>
                <w:rFonts w:asciiTheme="majorHAnsi" w:hAnsiTheme="majorHAnsi"/>
              </w:rPr>
              <w:t>Gilbert</w:t>
            </w:r>
          </w:p>
        </w:tc>
        <w:tc>
          <w:tcPr>
            <w:tcW w:w="4216" w:type="dxa"/>
          </w:tcPr>
          <w:p w14:paraId="2DE21A98" w14:textId="77777777" w:rsidR="00380123" w:rsidRPr="00F40E54" w:rsidRDefault="00380123" w:rsidP="00380123">
            <w:pPr>
              <w:rPr>
                <w:rFonts w:asciiTheme="majorHAnsi" w:hAnsiTheme="majorHAnsi"/>
              </w:rPr>
            </w:pPr>
            <w:r w:rsidRPr="00F40E54">
              <w:rPr>
                <w:rFonts w:asciiTheme="majorHAnsi" w:hAnsiTheme="majorHAnsi"/>
              </w:rPr>
              <w:t>I think you have to make Peter Pan costumes. One for George and one for me.</w:t>
            </w:r>
          </w:p>
        </w:tc>
        <w:tc>
          <w:tcPr>
            <w:tcW w:w="3380" w:type="dxa"/>
          </w:tcPr>
          <w:p w14:paraId="5622FEFA" w14:textId="77777777" w:rsidR="00380123" w:rsidRPr="00F40E54" w:rsidRDefault="00380123" w:rsidP="00380123">
            <w:pPr>
              <w:rPr>
                <w:rFonts w:asciiTheme="majorHAnsi" w:hAnsiTheme="majorHAnsi"/>
              </w:rPr>
            </w:pPr>
          </w:p>
        </w:tc>
      </w:tr>
    </w:tbl>
    <w:p w14:paraId="6DEABBF3" w14:textId="77777777" w:rsidR="00B972B3" w:rsidRPr="00F40E54" w:rsidRDefault="00B972B3" w:rsidP="00B972B3">
      <w:pPr>
        <w:rPr>
          <w:rFonts w:asciiTheme="majorHAnsi" w:hAnsiTheme="majorHAnsi"/>
          <w:sz w:val="24"/>
          <w:szCs w:val="24"/>
        </w:rPr>
      </w:pPr>
    </w:p>
    <w:p w14:paraId="294820F9" w14:textId="1378A8D7" w:rsidR="00B972B3" w:rsidRPr="00F40E54" w:rsidRDefault="00B972B3" w:rsidP="00380123">
      <w:pPr>
        <w:shd w:val="clear" w:color="auto" w:fill="FFFFFF" w:themeFill="background1"/>
        <w:spacing w:line="360" w:lineRule="auto"/>
        <w:rPr>
          <w:rFonts w:asciiTheme="majorHAnsi" w:hAnsiTheme="majorHAnsi"/>
          <w:sz w:val="24"/>
          <w:szCs w:val="24"/>
        </w:rPr>
      </w:pPr>
      <w:r w:rsidRPr="00F40E54">
        <w:rPr>
          <w:rFonts w:asciiTheme="majorHAnsi" w:hAnsiTheme="majorHAnsi"/>
          <w:sz w:val="24"/>
          <w:szCs w:val="24"/>
        </w:rPr>
        <w:t xml:space="preserve">In the above exchange mediation strategy enabled Gilbert and George to assert their positions, generate their own solutions, mutualise their interests and compromise. These </w:t>
      </w:r>
      <w:r w:rsidRPr="00F40E54">
        <w:rPr>
          <w:rFonts w:asciiTheme="majorHAnsi" w:hAnsiTheme="majorHAnsi"/>
          <w:sz w:val="24"/>
          <w:szCs w:val="24"/>
        </w:rPr>
        <w:lastRenderedPageBreak/>
        <w:t>actions represent evidence of interpersonal skills. In addition George was able to regulate his emotion which before the intervention had been unregulated as evidenced by his aggression.</w:t>
      </w:r>
      <w:r w:rsidR="00380123" w:rsidRPr="00F40E54">
        <w:rPr>
          <w:rFonts w:asciiTheme="majorHAnsi" w:hAnsiTheme="majorHAnsi"/>
          <w:sz w:val="24"/>
          <w:szCs w:val="24"/>
        </w:rPr>
        <w:t xml:space="preserve">  Following this, George and Gilbert went off together to find the resources they needed to make their costumes.</w:t>
      </w:r>
    </w:p>
    <w:p w14:paraId="1D30E159" w14:textId="6CE8C613" w:rsidR="00132583" w:rsidRPr="00F40E54" w:rsidRDefault="00132583" w:rsidP="00132583">
      <w:pPr>
        <w:spacing w:line="360" w:lineRule="auto"/>
        <w:rPr>
          <w:rFonts w:asciiTheme="majorHAnsi" w:eastAsia="Calibri" w:hAnsiTheme="majorHAnsi" w:cs="Arial"/>
          <w:sz w:val="24"/>
          <w:szCs w:val="24"/>
        </w:rPr>
      </w:pPr>
      <w:r w:rsidRPr="00F40E54">
        <w:rPr>
          <w:rFonts w:asciiTheme="majorHAnsi" w:hAnsiTheme="majorHAnsi"/>
          <w:b/>
          <w:sz w:val="28"/>
          <w:szCs w:val="28"/>
        </w:rPr>
        <w:t>Conclusions</w:t>
      </w:r>
    </w:p>
    <w:p w14:paraId="30201E1A" w14:textId="77777777" w:rsidR="00323FDA" w:rsidRPr="00F40E54" w:rsidRDefault="00132583" w:rsidP="00132583">
      <w:pPr>
        <w:spacing w:line="360" w:lineRule="auto"/>
        <w:contextualSpacing/>
        <w:rPr>
          <w:rFonts w:asciiTheme="majorHAnsi" w:eastAsia="Calibri" w:hAnsiTheme="majorHAnsi" w:cs="Arial"/>
          <w:sz w:val="24"/>
          <w:szCs w:val="24"/>
        </w:rPr>
      </w:pPr>
      <w:r w:rsidRPr="00F40E54">
        <w:rPr>
          <w:rFonts w:asciiTheme="majorHAnsi" w:eastAsia="Calibri" w:hAnsiTheme="majorHAnsi" w:cs="Times New Roman"/>
          <w:sz w:val="24"/>
          <w:szCs w:val="24"/>
        </w:rPr>
        <w:t>The study provided evidence that mediation strategies dominated as responses to conflict events in the setting</w:t>
      </w:r>
      <w:r w:rsidRPr="00F40E54">
        <w:rPr>
          <w:rFonts w:asciiTheme="majorHAnsi" w:eastAsia="Calibri" w:hAnsiTheme="majorHAnsi" w:cs="Arial"/>
          <w:sz w:val="24"/>
          <w:szCs w:val="24"/>
        </w:rPr>
        <w:t xml:space="preserve"> and that educators’ use of teachable moments in conflict events did afford opportunities to facilitate learners’ social development. </w:t>
      </w:r>
    </w:p>
    <w:p w14:paraId="5C42B261" w14:textId="77777777" w:rsidR="00F40E54" w:rsidRPr="00F40E54" w:rsidRDefault="00F40E54" w:rsidP="00132583">
      <w:pPr>
        <w:spacing w:line="360" w:lineRule="auto"/>
        <w:contextualSpacing/>
        <w:rPr>
          <w:rFonts w:asciiTheme="majorHAnsi" w:eastAsia="Calibri" w:hAnsiTheme="majorHAnsi" w:cs="Arial"/>
          <w:sz w:val="24"/>
          <w:szCs w:val="24"/>
        </w:rPr>
      </w:pPr>
    </w:p>
    <w:p w14:paraId="7741DFAE" w14:textId="581BE103" w:rsidR="00132583" w:rsidRPr="00F40E54" w:rsidRDefault="00323FDA" w:rsidP="00132583">
      <w:pPr>
        <w:spacing w:line="360" w:lineRule="auto"/>
        <w:contextualSpacing/>
        <w:rPr>
          <w:rFonts w:asciiTheme="majorHAnsi" w:eastAsia="Calibri" w:hAnsiTheme="majorHAnsi" w:cs="Times New Roman"/>
          <w:sz w:val="24"/>
          <w:szCs w:val="24"/>
        </w:rPr>
      </w:pPr>
      <w:r w:rsidRPr="00F40E54">
        <w:rPr>
          <w:rFonts w:asciiTheme="majorHAnsi" w:eastAsia="Calibri" w:hAnsiTheme="majorHAnsi" w:cs="Times New Roman"/>
          <w:sz w:val="24"/>
          <w:szCs w:val="24"/>
        </w:rPr>
        <w:t>One</w:t>
      </w:r>
      <w:r w:rsidR="00132583" w:rsidRPr="00F40E54">
        <w:rPr>
          <w:rFonts w:asciiTheme="majorHAnsi" w:eastAsia="Calibri" w:hAnsiTheme="majorHAnsi" w:cs="Times New Roman"/>
          <w:sz w:val="24"/>
          <w:szCs w:val="24"/>
        </w:rPr>
        <w:t xml:space="preserve"> advantage</w:t>
      </w:r>
      <w:r w:rsidRPr="00F40E54">
        <w:rPr>
          <w:rFonts w:asciiTheme="majorHAnsi" w:eastAsia="Calibri" w:hAnsiTheme="majorHAnsi" w:cs="Times New Roman"/>
          <w:sz w:val="24"/>
          <w:szCs w:val="24"/>
        </w:rPr>
        <w:t xml:space="preserve"> of this approach was that that educators</w:t>
      </w:r>
      <w:r w:rsidR="00132583" w:rsidRPr="00F40E54">
        <w:rPr>
          <w:rFonts w:asciiTheme="majorHAnsi" w:eastAsia="Calibri" w:hAnsiTheme="majorHAnsi" w:cs="Times New Roman"/>
          <w:sz w:val="24"/>
          <w:szCs w:val="24"/>
        </w:rPr>
        <w:t xml:space="preserve"> were able to use conflict events as an opportunity for formative assessment and engage in complex interactions with individuals, making more finely grained judgements about their learning (Torrance and Prior 2001). Beyond the individual, collaboration was evidenced in all conflict events where mediation strategies were employed. Although the study focused only on data collected over a short time frame, the value of the strategies employed potentially impacted positively on the culture of the setting. In our practice my colleagues and I witnessed children use the strategies that adults had modelled to problem solve collaboratively and use assertive, constructive approach</w:t>
      </w:r>
      <w:r w:rsidRPr="00F40E54">
        <w:rPr>
          <w:rFonts w:asciiTheme="majorHAnsi" w:eastAsia="Calibri" w:hAnsiTheme="majorHAnsi" w:cs="Times New Roman"/>
          <w:sz w:val="24"/>
          <w:szCs w:val="24"/>
        </w:rPr>
        <w:t>es to conflicts unprompted by educators</w:t>
      </w:r>
      <w:r w:rsidR="00132583" w:rsidRPr="00F40E54">
        <w:rPr>
          <w:rFonts w:asciiTheme="majorHAnsi" w:eastAsia="Calibri" w:hAnsiTheme="majorHAnsi" w:cs="Times New Roman"/>
          <w:sz w:val="24"/>
          <w:szCs w:val="24"/>
        </w:rPr>
        <w:t>. A possible explanation f</w:t>
      </w:r>
      <w:r w:rsidRPr="00F40E54">
        <w:rPr>
          <w:rFonts w:asciiTheme="majorHAnsi" w:eastAsia="Calibri" w:hAnsiTheme="majorHAnsi" w:cs="Times New Roman"/>
          <w:sz w:val="24"/>
          <w:szCs w:val="24"/>
        </w:rPr>
        <w:t>or this is that learners</w:t>
      </w:r>
      <w:r w:rsidR="00132583" w:rsidRPr="00F40E54">
        <w:rPr>
          <w:rFonts w:asciiTheme="majorHAnsi" w:eastAsia="Calibri" w:hAnsiTheme="majorHAnsi" w:cs="Times New Roman"/>
          <w:sz w:val="24"/>
          <w:szCs w:val="24"/>
        </w:rPr>
        <w:t xml:space="preserve"> within the setting learned to perceive conflict as unlikely to produce disapproval, judgement or blame </w:t>
      </w:r>
      <w:r w:rsidRPr="00F40E54">
        <w:rPr>
          <w:rFonts w:asciiTheme="majorHAnsi" w:eastAsia="Calibri" w:hAnsiTheme="majorHAnsi" w:cs="Times New Roman"/>
          <w:sz w:val="24"/>
          <w:szCs w:val="24"/>
        </w:rPr>
        <w:t xml:space="preserve">from educators </w:t>
      </w:r>
      <w:r w:rsidR="00132583" w:rsidRPr="00F40E54">
        <w:rPr>
          <w:rFonts w:asciiTheme="majorHAnsi" w:eastAsia="Calibri" w:hAnsiTheme="majorHAnsi" w:cs="Times New Roman"/>
          <w:sz w:val="24"/>
          <w:szCs w:val="24"/>
        </w:rPr>
        <w:t xml:space="preserve">and so defensiveness was lessened. The tacit acknowledgement </w:t>
      </w:r>
      <w:r w:rsidRPr="00F40E54">
        <w:rPr>
          <w:rFonts w:asciiTheme="majorHAnsi" w:eastAsia="Calibri" w:hAnsiTheme="majorHAnsi" w:cs="Times New Roman"/>
          <w:sz w:val="24"/>
          <w:szCs w:val="24"/>
        </w:rPr>
        <w:t>of learners’</w:t>
      </w:r>
      <w:r w:rsidR="00132583" w:rsidRPr="00F40E54">
        <w:rPr>
          <w:rFonts w:asciiTheme="majorHAnsi" w:eastAsia="Calibri" w:hAnsiTheme="majorHAnsi" w:cs="Times New Roman"/>
          <w:sz w:val="24"/>
          <w:szCs w:val="24"/>
        </w:rPr>
        <w:t xml:space="preserve"> rights to make choices, problem solve, assert their positions and be supported in maintaining  control of their interactions, aimed to  support their feelings of autonomy and agency, seen by social learning theorists as key to effective learning (Bandura 2001; Pritchard and </w:t>
      </w:r>
      <w:proofErr w:type="spellStart"/>
      <w:r w:rsidR="00132583" w:rsidRPr="00F40E54">
        <w:rPr>
          <w:rFonts w:asciiTheme="majorHAnsi" w:eastAsia="Calibri" w:hAnsiTheme="majorHAnsi" w:cs="Times New Roman"/>
          <w:sz w:val="24"/>
          <w:szCs w:val="24"/>
        </w:rPr>
        <w:t>Woollard</w:t>
      </w:r>
      <w:proofErr w:type="spellEnd"/>
      <w:r w:rsidR="00132583" w:rsidRPr="00F40E54">
        <w:rPr>
          <w:rFonts w:asciiTheme="majorHAnsi" w:eastAsia="Calibri" w:hAnsiTheme="majorHAnsi" w:cs="Times New Roman"/>
          <w:sz w:val="24"/>
          <w:szCs w:val="24"/>
        </w:rPr>
        <w:t xml:space="preserve"> 2010; Rushton 2011).</w:t>
      </w:r>
    </w:p>
    <w:p w14:paraId="352F19F0" w14:textId="77777777" w:rsidR="00132583" w:rsidRPr="00F40E54" w:rsidRDefault="00132583" w:rsidP="00132583">
      <w:pPr>
        <w:spacing w:line="360" w:lineRule="auto"/>
        <w:contextualSpacing/>
        <w:rPr>
          <w:rFonts w:asciiTheme="majorHAnsi" w:eastAsia="Calibri" w:hAnsiTheme="majorHAnsi" w:cs="Times New Roman"/>
          <w:sz w:val="24"/>
          <w:szCs w:val="24"/>
        </w:rPr>
      </w:pPr>
    </w:p>
    <w:p w14:paraId="656298B3" w14:textId="188C204C" w:rsidR="00132583" w:rsidRPr="00F40E54" w:rsidRDefault="00132583" w:rsidP="00132583">
      <w:pPr>
        <w:spacing w:line="360" w:lineRule="auto"/>
        <w:contextualSpacing/>
        <w:rPr>
          <w:rFonts w:asciiTheme="majorHAnsi" w:eastAsia="Calibri" w:hAnsiTheme="majorHAnsi" w:cs="Times New Roman"/>
          <w:sz w:val="24"/>
          <w:szCs w:val="24"/>
        </w:rPr>
      </w:pPr>
      <w:r w:rsidRPr="00F40E54">
        <w:rPr>
          <w:rFonts w:asciiTheme="majorHAnsi" w:eastAsia="Calibri" w:hAnsiTheme="majorHAnsi" w:cs="Times New Roman"/>
          <w:sz w:val="24"/>
          <w:szCs w:val="24"/>
        </w:rPr>
        <w:t>The recognition of a ‘teachable moments’ requires skilled judgement on the part of the practitioner. In an emotionally charged conflict event where children may be overwhelmed, the need to comfort and reassure will take priority but may themselves give rise to a ‘teachable moment’.</w:t>
      </w:r>
    </w:p>
    <w:p w14:paraId="52BFBE81" w14:textId="77777777" w:rsidR="00323FDA" w:rsidRPr="00F40E54" w:rsidRDefault="00323FDA" w:rsidP="00132583">
      <w:pPr>
        <w:spacing w:line="360" w:lineRule="auto"/>
        <w:contextualSpacing/>
        <w:rPr>
          <w:rFonts w:asciiTheme="majorHAnsi" w:eastAsia="Calibri" w:hAnsiTheme="majorHAnsi" w:cs="Times New Roman"/>
          <w:sz w:val="24"/>
          <w:szCs w:val="24"/>
        </w:rPr>
      </w:pPr>
    </w:p>
    <w:p w14:paraId="12890922" w14:textId="77777777" w:rsidR="00132583" w:rsidRPr="00F40E54" w:rsidRDefault="00132583" w:rsidP="00132583">
      <w:pPr>
        <w:spacing w:line="360" w:lineRule="auto"/>
        <w:contextualSpacing/>
        <w:rPr>
          <w:rFonts w:asciiTheme="majorHAnsi" w:eastAsia="Calibri" w:hAnsiTheme="majorHAnsi" w:cs="Times New Roman"/>
          <w:sz w:val="24"/>
          <w:szCs w:val="24"/>
        </w:rPr>
      </w:pPr>
      <w:r w:rsidRPr="00F40E54">
        <w:rPr>
          <w:rFonts w:asciiTheme="majorHAnsi" w:eastAsia="Calibri" w:hAnsiTheme="majorHAnsi" w:cs="Times New Roman"/>
          <w:sz w:val="24"/>
          <w:szCs w:val="24"/>
        </w:rPr>
        <w:lastRenderedPageBreak/>
        <w:t>The highlight of study for me was what intense scrutiny of the minutiae of interactions between peers revealed to me about the capabilities of the individuals involved. All of them were well known to me as my working day involved cycles of planning and observations based around them as will be familiar to all early childhood practitioners. However, my awareness of their potential as sophisticated agents in interpersonal exchange were heightened considerably reinforcing my conviction that we must recognise and respect the considerable capabilities of young learners.</w:t>
      </w:r>
    </w:p>
    <w:p w14:paraId="2E302BBA" w14:textId="77777777" w:rsidR="00132583" w:rsidRPr="00F40E54" w:rsidRDefault="00132583" w:rsidP="00132583">
      <w:pPr>
        <w:spacing w:line="360" w:lineRule="auto"/>
        <w:contextualSpacing/>
        <w:rPr>
          <w:rFonts w:asciiTheme="majorHAnsi" w:eastAsia="Calibri" w:hAnsiTheme="majorHAnsi" w:cs="Times New Roman"/>
          <w:sz w:val="24"/>
          <w:szCs w:val="24"/>
        </w:rPr>
      </w:pPr>
    </w:p>
    <w:p w14:paraId="090A5843" w14:textId="77777777" w:rsidR="00132583" w:rsidRPr="00F40E54" w:rsidRDefault="00132583" w:rsidP="00132583">
      <w:pPr>
        <w:spacing w:line="360" w:lineRule="auto"/>
        <w:contextualSpacing/>
        <w:rPr>
          <w:rFonts w:asciiTheme="majorHAnsi" w:eastAsia="Calibri" w:hAnsiTheme="majorHAnsi" w:cs="Times New Roman"/>
          <w:sz w:val="24"/>
          <w:szCs w:val="24"/>
        </w:rPr>
      </w:pPr>
      <w:r w:rsidRPr="00F40E54">
        <w:rPr>
          <w:rFonts w:asciiTheme="majorHAnsi" w:eastAsia="Calibri" w:hAnsiTheme="majorHAnsi" w:cs="Times New Roman"/>
          <w:sz w:val="24"/>
          <w:szCs w:val="24"/>
        </w:rPr>
        <w:t xml:space="preserve">Further research over a longer period with diverse cohorts could help establish whether the potential benefits of teachable moments as a pedagogic approach are evidenced over time and whether mediation strategies might prove a valuable tool for the early childhood educator. </w:t>
      </w:r>
    </w:p>
    <w:p w14:paraId="56FEBFA4" w14:textId="77777777" w:rsidR="000D2879" w:rsidRPr="00F40E54" w:rsidRDefault="000D2879" w:rsidP="00E66790">
      <w:pPr>
        <w:spacing w:line="360" w:lineRule="auto"/>
        <w:contextualSpacing/>
        <w:rPr>
          <w:rFonts w:asciiTheme="majorHAnsi" w:eastAsia="Calibri" w:hAnsiTheme="majorHAnsi" w:cs="Arial"/>
          <w:sz w:val="24"/>
          <w:szCs w:val="24"/>
        </w:rPr>
      </w:pPr>
    </w:p>
    <w:p w14:paraId="59850CAC" w14:textId="604404F0" w:rsidR="00F30DD2" w:rsidRPr="00F40E54" w:rsidRDefault="00F30DD2" w:rsidP="0024641A">
      <w:pPr>
        <w:spacing w:line="360" w:lineRule="auto"/>
        <w:rPr>
          <w:rFonts w:asciiTheme="majorHAnsi" w:eastAsia="Calibri" w:hAnsiTheme="majorHAnsi" w:cs="Arial"/>
          <w:b/>
          <w:sz w:val="28"/>
          <w:szCs w:val="28"/>
        </w:rPr>
      </w:pPr>
      <w:r w:rsidRPr="00F40E54">
        <w:rPr>
          <w:rFonts w:asciiTheme="majorHAnsi" w:eastAsia="Calibri" w:hAnsiTheme="majorHAnsi" w:cs="Arial"/>
          <w:b/>
          <w:sz w:val="28"/>
          <w:szCs w:val="28"/>
        </w:rPr>
        <w:t>References</w:t>
      </w:r>
    </w:p>
    <w:p w14:paraId="69C61438" w14:textId="77777777" w:rsidR="00217A07" w:rsidRPr="00F40E54" w:rsidRDefault="00217A07" w:rsidP="00B75754">
      <w:pPr>
        <w:spacing w:after="0" w:line="276" w:lineRule="auto"/>
        <w:rPr>
          <w:rFonts w:asciiTheme="majorHAnsi" w:eastAsia="Calibri" w:hAnsiTheme="majorHAnsi" w:cs="Arial"/>
          <w:sz w:val="24"/>
          <w:szCs w:val="24"/>
        </w:rPr>
      </w:pPr>
      <w:r w:rsidRPr="00F40E54">
        <w:rPr>
          <w:rFonts w:asciiTheme="majorHAnsi" w:eastAsia="Calibri" w:hAnsiTheme="majorHAnsi" w:cs="Arial"/>
          <w:sz w:val="24"/>
          <w:szCs w:val="24"/>
        </w:rPr>
        <w:t xml:space="preserve">Arcaro-McPhee, R.  Doppler, E. and Harkins, D. (2002) Conflict resolution in a preschool constructivist classroom: a case study in negotiation. </w:t>
      </w:r>
      <w:r w:rsidRPr="00F40E54">
        <w:rPr>
          <w:rFonts w:asciiTheme="majorHAnsi" w:eastAsia="Calibri" w:hAnsiTheme="majorHAnsi" w:cs="Arial"/>
          <w:i/>
          <w:sz w:val="24"/>
          <w:szCs w:val="24"/>
        </w:rPr>
        <w:t xml:space="preserve">Journal of Research in Childhood Education, </w:t>
      </w:r>
      <w:r w:rsidRPr="00F40E54">
        <w:rPr>
          <w:rFonts w:asciiTheme="majorHAnsi" w:eastAsia="Calibri" w:hAnsiTheme="majorHAnsi" w:cs="Arial"/>
          <w:sz w:val="24"/>
          <w:szCs w:val="24"/>
        </w:rPr>
        <w:t>17 (1), 19- 25</w:t>
      </w:r>
    </w:p>
    <w:p w14:paraId="2AA43D4F" w14:textId="77777777" w:rsidR="00323FDA" w:rsidRPr="00F40E54" w:rsidRDefault="00323FDA" w:rsidP="00B75754">
      <w:pPr>
        <w:spacing w:after="0" w:line="276" w:lineRule="auto"/>
        <w:rPr>
          <w:rFonts w:asciiTheme="majorHAnsi" w:eastAsia="Calibri" w:hAnsiTheme="majorHAnsi" w:cs="Arial"/>
          <w:sz w:val="24"/>
          <w:szCs w:val="24"/>
        </w:rPr>
      </w:pPr>
    </w:p>
    <w:p w14:paraId="79D0C78D" w14:textId="495CF69E" w:rsidR="00323FDA" w:rsidRPr="00F40E54" w:rsidRDefault="00323FDA" w:rsidP="00323FDA">
      <w:pPr>
        <w:spacing w:after="0" w:line="360" w:lineRule="auto"/>
        <w:rPr>
          <w:rFonts w:asciiTheme="majorHAnsi" w:eastAsia="Calibri" w:hAnsiTheme="majorHAnsi" w:cs="Arial"/>
          <w:sz w:val="24"/>
          <w:szCs w:val="24"/>
        </w:rPr>
      </w:pPr>
      <w:r w:rsidRPr="00F40E54">
        <w:rPr>
          <w:rFonts w:asciiTheme="majorHAnsi" w:eastAsia="Calibri" w:hAnsiTheme="majorHAnsi" w:cs="Arial"/>
          <w:sz w:val="24"/>
          <w:szCs w:val="24"/>
        </w:rPr>
        <w:t xml:space="preserve">Bandura, A. (2001) Social cognitive theory: an agentic perspective. </w:t>
      </w:r>
      <w:r w:rsidRPr="00F40E54">
        <w:rPr>
          <w:rFonts w:asciiTheme="majorHAnsi" w:eastAsia="Calibri" w:hAnsiTheme="majorHAnsi" w:cs="Arial"/>
          <w:i/>
          <w:sz w:val="24"/>
          <w:szCs w:val="24"/>
        </w:rPr>
        <w:t xml:space="preserve">Annual Review Psychology, 52, 1-26 </w:t>
      </w:r>
      <w:r w:rsidRPr="00F40E54">
        <w:rPr>
          <w:rFonts w:asciiTheme="majorHAnsi" w:hAnsiTheme="majorHAnsi" w:cs="Times New Roman"/>
          <w:sz w:val="24"/>
          <w:szCs w:val="24"/>
        </w:rPr>
        <w:t xml:space="preserve">Available from: </w:t>
      </w:r>
      <w:hyperlink r:id="rId7" w:history="1">
        <w:r w:rsidRPr="00F40E54">
          <w:rPr>
            <w:rFonts w:asciiTheme="majorHAnsi" w:hAnsiTheme="majorHAnsi" w:cs="Times New Roman"/>
            <w:color w:val="0563C1" w:themeColor="hyperlink"/>
            <w:sz w:val="24"/>
            <w:szCs w:val="24"/>
            <w:u w:val="single"/>
          </w:rPr>
          <w:t>www.annualreviews.org</w:t>
        </w:r>
      </w:hyperlink>
      <w:r w:rsidRPr="00F40E54">
        <w:rPr>
          <w:rFonts w:asciiTheme="majorHAnsi" w:hAnsiTheme="majorHAnsi" w:cs="Times New Roman"/>
          <w:sz w:val="24"/>
          <w:szCs w:val="24"/>
        </w:rPr>
        <w:t xml:space="preserve"> [Accessed on 28</w:t>
      </w:r>
      <w:r w:rsidRPr="00F40E54">
        <w:rPr>
          <w:rFonts w:asciiTheme="majorHAnsi" w:hAnsiTheme="majorHAnsi" w:cs="Times New Roman"/>
          <w:sz w:val="24"/>
          <w:szCs w:val="24"/>
          <w:vertAlign w:val="superscript"/>
        </w:rPr>
        <w:t>th</w:t>
      </w:r>
      <w:r w:rsidRPr="00F40E54">
        <w:rPr>
          <w:rFonts w:asciiTheme="majorHAnsi" w:hAnsiTheme="majorHAnsi" w:cs="Times New Roman"/>
          <w:sz w:val="24"/>
          <w:szCs w:val="24"/>
        </w:rPr>
        <w:t xml:space="preserve"> May 2013]</w:t>
      </w:r>
    </w:p>
    <w:p w14:paraId="6F02A15A" w14:textId="77777777" w:rsidR="00217A07" w:rsidRPr="00F40E54" w:rsidRDefault="00217A07" w:rsidP="00B75754">
      <w:pPr>
        <w:spacing w:after="0" w:line="276" w:lineRule="auto"/>
        <w:rPr>
          <w:rFonts w:asciiTheme="majorHAnsi" w:eastAsia="Calibri" w:hAnsiTheme="majorHAnsi" w:cs="Arial"/>
          <w:sz w:val="24"/>
          <w:szCs w:val="24"/>
        </w:rPr>
      </w:pPr>
    </w:p>
    <w:p w14:paraId="53B3929C" w14:textId="77777777" w:rsidR="00217A07" w:rsidRPr="00F40E54" w:rsidRDefault="00217A07" w:rsidP="00B75754">
      <w:pPr>
        <w:autoSpaceDE w:val="0"/>
        <w:autoSpaceDN w:val="0"/>
        <w:adjustRightInd w:val="0"/>
        <w:spacing w:after="0" w:line="276" w:lineRule="auto"/>
        <w:rPr>
          <w:rFonts w:asciiTheme="majorHAnsi" w:hAnsiTheme="majorHAnsi" w:cs="Trebuchet MS"/>
          <w:sz w:val="24"/>
          <w:szCs w:val="24"/>
        </w:rPr>
      </w:pPr>
      <w:r w:rsidRPr="00F40E54">
        <w:rPr>
          <w:rFonts w:asciiTheme="majorHAnsi" w:eastAsia="Calibri" w:hAnsiTheme="majorHAnsi" w:cs="Arial"/>
          <w:sz w:val="24"/>
          <w:szCs w:val="24"/>
        </w:rPr>
        <w:t xml:space="preserve">Bayer, C.  Whaley, K. and May, S. (1995) </w:t>
      </w:r>
      <w:r w:rsidRPr="00F40E54">
        <w:rPr>
          <w:rFonts w:asciiTheme="majorHAnsi" w:hAnsiTheme="majorHAnsi" w:cs="Trebuchet MS"/>
          <w:sz w:val="24"/>
          <w:szCs w:val="24"/>
        </w:rPr>
        <w:t xml:space="preserve">Strategic assistance in toddler disputes II. </w:t>
      </w:r>
      <w:proofErr w:type="gramStart"/>
      <w:r w:rsidRPr="00F40E54">
        <w:rPr>
          <w:rFonts w:asciiTheme="majorHAnsi" w:hAnsiTheme="majorHAnsi" w:cs="Trebuchet MS"/>
          <w:sz w:val="24"/>
          <w:szCs w:val="24"/>
        </w:rPr>
        <w:t>sequences</w:t>
      </w:r>
      <w:proofErr w:type="gramEnd"/>
      <w:r w:rsidRPr="00F40E54">
        <w:rPr>
          <w:rFonts w:asciiTheme="majorHAnsi" w:hAnsiTheme="majorHAnsi" w:cs="Trebuchet MS"/>
          <w:sz w:val="24"/>
          <w:szCs w:val="24"/>
        </w:rPr>
        <w:t xml:space="preserve"> and patterns of teachers' message strategies, </w:t>
      </w:r>
      <w:r w:rsidRPr="00F40E54">
        <w:rPr>
          <w:rFonts w:asciiTheme="majorHAnsi" w:hAnsiTheme="majorHAnsi" w:cs="Trebuchet MS"/>
          <w:i/>
          <w:sz w:val="24"/>
          <w:szCs w:val="24"/>
        </w:rPr>
        <w:t>Early Education &amp; Development</w:t>
      </w:r>
      <w:r w:rsidRPr="00F40E54">
        <w:rPr>
          <w:rFonts w:asciiTheme="majorHAnsi" w:hAnsiTheme="majorHAnsi" w:cs="Trebuchet MS"/>
          <w:sz w:val="24"/>
          <w:szCs w:val="24"/>
        </w:rPr>
        <w:t xml:space="preserve">, 6 (4), 405-432 Available from: </w:t>
      </w:r>
      <w:hyperlink r:id="rId8" w:history="1">
        <w:r w:rsidRPr="00F40E54">
          <w:rPr>
            <w:rFonts w:asciiTheme="majorHAnsi" w:hAnsiTheme="majorHAnsi" w:cs="Trebuchet MS"/>
            <w:color w:val="0563C1" w:themeColor="hyperlink"/>
            <w:sz w:val="24"/>
            <w:szCs w:val="24"/>
            <w:u w:val="single"/>
          </w:rPr>
          <w:t>http://dx.doi.org/10.1207/s15566935eed0604_7</w:t>
        </w:r>
      </w:hyperlink>
      <w:r w:rsidRPr="00F40E54">
        <w:rPr>
          <w:rFonts w:asciiTheme="majorHAnsi" w:hAnsiTheme="majorHAnsi" w:cs="Trebuchet MS"/>
          <w:color w:val="0000FF"/>
          <w:sz w:val="24"/>
          <w:szCs w:val="24"/>
        </w:rPr>
        <w:t xml:space="preserve"> </w:t>
      </w:r>
      <w:r w:rsidRPr="00F40E54">
        <w:rPr>
          <w:rFonts w:asciiTheme="majorHAnsi" w:hAnsiTheme="majorHAnsi" w:cs="Trebuchet MS"/>
          <w:sz w:val="24"/>
          <w:szCs w:val="24"/>
        </w:rPr>
        <w:t>[Accessed 5</w:t>
      </w:r>
      <w:r w:rsidRPr="00F40E54">
        <w:rPr>
          <w:rFonts w:asciiTheme="majorHAnsi" w:hAnsiTheme="majorHAnsi" w:cs="Trebuchet MS"/>
          <w:sz w:val="24"/>
          <w:szCs w:val="24"/>
          <w:vertAlign w:val="superscript"/>
        </w:rPr>
        <w:t>th</w:t>
      </w:r>
      <w:r w:rsidRPr="00F40E54">
        <w:rPr>
          <w:rFonts w:asciiTheme="majorHAnsi" w:hAnsiTheme="majorHAnsi" w:cs="Trebuchet MS"/>
          <w:sz w:val="24"/>
          <w:szCs w:val="24"/>
        </w:rPr>
        <w:t xml:space="preserve"> April 2013]</w:t>
      </w:r>
    </w:p>
    <w:p w14:paraId="17668972" w14:textId="77777777" w:rsidR="00217A07" w:rsidRPr="00F40E54" w:rsidRDefault="00217A07" w:rsidP="00B75754">
      <w:pPr>
        <w:spacing w:after="0" w:line="276" w:lineRule="auto"/>
        <w:rPr>
          <w:rFonts w:asciiTheme="majorHAnsi" w:eastAsia="Calibri" w:hAnsiTheme="majorHAnsi" w:cs="Arial"/>
          <w:sz w:val="24"/>
          <w:szCs w:val="24"/>
        </w:rPr>
      </w:pPr>
    </w:p>
    <w:p w14:paraId="5CEC3830" w14:textId="77777777" w:rsidR="003C6416" w:rsidRPr="00F40E54" w:rsidRDefault="003C6416" w:rsidP="00B75754">
      <w:pPr>
        <w:autoSpaceDE w:val="0"/>
        <w:autoSpaceDN w:val="0"/>
        <w:adjustRightInd w:val="0"/>
        <w:spacing w:after="0" w:line="276" w:lineRule="auto"/>
        <w:rPr>
          <w:rFonts w:asciiTheme="majorHAnsi" w:hAnsiTheme="majorHAnsi" w:cs="DanteMTPro-Bold"/>
          <w:bCs/>
          <w:color w:val="0563C1" w:themeColor="hyperlink"/>
          <w:sz w:val="24"/>
          <w:szCs w:val="24"/>
          <w:u w:val="single"/>
        </w:rPr>
      </w:pPr>
      <w:r w:rsidRPr="00F40E54">
        <w:rPr>
          <w:rFonts w:asciiTheme="majorHAnsi" w:eastAsia="Calibri" w:hAnsiTheme="majorHAnsi" w:cs="Arial"/>
          <w:sz w:val="24"/>
          <w:szCs w:val="24"/>
        </w:rPr>
        <w:t xml:space="preserve">Blank, J. and Schneider, J. (2011) </w:t>
      </w:r>
      <w:r w:rsidRPr="00F40E54">
        <w:rPr>
          <w:rFonts w:asciiTheme="majorHAnsi" w:hAnsiTheme="majorHAnsi" w:cs="DanteMTPro-Bold"/>
          <w:bCs/>
          <w:sz w:val="24"/>
          <w:szCs w:val="24"/>
        </w:rPr>
        <w:t xml:space="preserve">‘Use Your Words:’ reconsidering the language of conflict in the early years, </w:t>
      </w:r>
      <w:r w:rsidRPr="00F40E54">
        <w:rPr>
          <w:rFonts w:asciiTheme="majorHAnsi" w:hAnsiTheme="majorHAnsi" w:cs="DanteMTPro-Italic"/>
          <w:i/>
          <w:iCs/>
          <w:sz w:val="24"/>
          <w:szCs w:val="24"/>
        </w:rPr>
        <w:t xml:space="preserve">Contemporary Issues in Early Childhood, </w:t>
      </w:r>
      <w:r w:rsidRPr="00F40E54">
        <w:rPr>
          <w:rFonts w:asciiTheme="majorHAnsi" w:hAnsiTheme="majorHAnsi" w:cs="DanteMTPro-Italic"/>
          <w:iCs/>
          <w:sz w:val="24"/>
          <w:szCs w:val="24"/>
        </w:rPr>
        <w:t xml:space="preserve">12 (3) 198- 211 </w:t>
      </w:r>
    </w:p>
    <w:p w14:paraId="6D346D3D" w14:textId="77777777" w:rsidR="003C6416" w:rsidRPr="00F40E54" w:rsidRDefault="003C6416" w:rsidP="00B75754">
      <w:pPr>
        <w:spacing w:line="276" w:lineRule="auto"/>
        <w:rPr>
          <w:rFonts w:asciiTheme="majorHAnsi" w:eastAsia="Calibri" w:hAnsiTheme="majorHAnsi" w:cs="Arial"/>
          <w:sz w:val="24"/>
          <w:szCs w:val="24"/>
        </w:rPr>
      </w:pPr>
    </w:p>
    <w:p w14:paraId="76AA9841" w14:textId="77777777" w:rsidR="003C6416" w:rsidRPr="00F40E54" w:rsidRDefault="003C6416" w:rsidP="00B75754">
      <w:pPr>
        <w:autoSpaceDE w:val="0"/>
        <w:autoSpaceDN w:val="0"/>
        <w:adjustRightInd w:val="0"/>
        <w:spacing w:after="0" w:line="276" w:lineRule="auto"/>
        <w:rPr>
          <w:rFonts w:asciiTheme="majorHAnsi" w:hAnsiTheme="majorHAnsi" w:cs="Times-Italic"/>
          <w:iCs/>
          <w:sz w:val="24"/>
          <w:szCs w:val="24"/>
        </w:rPr>
      </w:pPr>
      <w:r w:rsidRPr="00F40E54">
        <w:rPr>
          <w:rFonts w:asciiTheme="majorHAnsi" w:eastAsia="Calibri" w:hAnsiTheme="majorHAnsi" w:cs="Arial"/>
          <w:sz w:val="24"/>
          <w:szCs w:val="24"/>
        </w:rPr>
        <w:t xml:space="preserve">Chen, D. (2003), </w:t>
      </w:r>
      <w:r w:rsidRPr="00F40E54">
        <w:rPr>
          <w:rFonts w:asciiTheme="majorHAnsi" w:hAnsiTheme="majorHAnsi" w:cs="Times-Bold"/>
          <w:bCs/>
          <w:sz w:val="24"/>
          <w:szCs w:val="24"/>
        </w:rPr>
        <w:t xml:space="preserve">Preventing violence by promoting the development of competent conflict resolution skills: exploring roles and responsibilities, </w:t>
      </w:r>
      <w:r w:rsidRPr="00F40E54">
        <w:rPr>
          <w:rFonts w:asciiTheme="majorHAnsi" w:hAnsiTheme="majorHAnsi" w:cs="Times-Italic"/>
          <w:i/>
          <w:iCs/>
          <w:sz w:val="24"/>
          <w:szCs w:val="24"/>
        </w:rPr>
        <w:t>Early Childhood Education Journal</w:t>
      </w:r>
      <w:r w:rsidRPr="00F40E54">
        <w:rPr>
          <w:rFonts w:asciiTheme="majorHAnsi" w:hAnsiTheme="majorHAnsi" w:cs="Times-Roman"/>
          <w:sz w:val="24"/>
          <w:szCs w:val="24"/>
        </w:rPr>
        <w:t xml:space="preserve">, </w:t>
      </w:r>
      <w:r w:rsidRPr="00F40E54">
        <w:rPr>
          <w:rFonts w:asciiTheme="majorHAnsi" w:hAnsiTheme="majorHAnsi" w:cs="Times-Italic"/>
          <w:iCs/>
          <w:sz w:val="24"/>
          <w:szCs w:val="24"/>
        </w:rPr>
        <w:t>30 (4) 203-208</w:t>
      </w:r>
    </w:p>
    <w:p w14:paraId="709E4A55" w14:textId="77777777" w:rsidR="003C6416" w:rsidRPr="00F40E54" w:rsidRDefault="003C6416" w:rsidP="00B75754">
      <w:pPr>
        <w:autoSpaceDE w:val="0"/>
        <w:autoSpaceDN w:val="0"/>
        <w:adjustRightInd w:val="0"/>
        <w:spacing w:after="0" w:line="276" w:lineRule="auto"/>
        <w:rPr>
          <w:rFonts w:asciiTheme="majorHAnsi" w:hAnsiTheme="majorHAnsi" w:cs="Times New Roman"/>
          <w:sz w:val="24"/>
          <w:szCs w:val="24"/>
        </w:rPr>
      </w:pPr>
    </w:p>
    <w:p w14:paraId="71602790" w14:textId="77777777" w:rsidR="003C6416" w:rsidRPr="00F40E54" w:rsidRDefault="003C6416" w:rsidP="00B75754">
      <w:pPr>
        <w:autoSpaceDE w:val="0"/>
        <w:autoSpaceDN w:val="0"/>
        <w:adjustRightInd w:val="0"/>
        <w:spacing w:after="0" w:line="276" w:lineRule="auto"/>
        <w:rPr>
          <w:rFonts w:asciiTheme="majorHAnsi" w:hAnsiTheme="majorHAnsi" w:cs="Times New Roman"/>
          <w:sz w:val="24"/>
          <w:szCs w:val="24"/>
        </w:rPr>
      </w:pPr>
      <w:r w:rsidRPr="00F40E54">
        <w:rPr>
          <w:rFonts w:asciiTheme="majorHAnsi" w:hAnsiTheme="majorHAnsi" w:cs="Times New Roman"/>
          <w:sz w:val="24"/>
          <w:szCs w:val="24"/>
        </w:rPr>
        <w:t xml:space="preserve">Cohen, L. </w:t>
      </w:r>
      <w:proofErr w:type="spellStart"/>
      <w:r w:rsidRPr="00F40E54">
        <w:rPr>
          <w:rFonts w:asciiTheme="majorHAnsi" w:hAnsiTheme="majorHAnsi" w:cs="Times New Roman"/>
          <w:sz w:val="24"/>
          <w:szCs w:val="24"/>
        </w:rPr>
        <w:t>Manion</w:t>
      </w:r>
      <w:proofErr w:type="spellEnd"/>
      <w:r w:rsidRPr="00F40E54">
        <w:rPr>
          <w:rFonts w:asciiTheme="majorHAnsi" w:hAnsiTheme="majorHAnsi" w:cs="Times New Roman"/>
          <w:sz w:val="24"/>
          <w:szCs w:val="24"/>
        </w:rPr>
        <w:t xml:space="preserve">, L. and Morrison, K. (2011), Action Research. In: </w:t>
      </w:r>
      <w:r w:rsidRPr="00F40E54">
        <w:rPr>
          <w:rFonts w:asciiTheme="majorHAnsi" w:hAnsiTheme="majorHAnsi" w:cs="Times New Roman"/>
          <w:i/>
          <w:iCs/>
          <w:sz w:val="24"/>
          <w:szCs w:val="24"/>
        </w:rPr>
        <w:t>Research methods in education</w:t>
      </w:r>
      <w:r w:rsidRPr="00F40E54">
        <w:rPr>
          <w:rFonts w:asciiTheme="majorHAnsi" w:hAnsiTheme="majorHAnsi" w:cs="Times New Roman"/>
          <w:iCs/>
          <w:sz w:val="24"/>
          <w:szCs w:val="24"/>
        </w:rPr>
        <w:t xml:space="preserve"> </w:t>
      </w:r>
      <w:r w:rsidRPr="00F40E54">
        <w:rPr>
          <w:rFonts w:asciiTheme="majorHAnsi" w:hAnsiTheme="majorHAnsi" w:cs="Times New Roman"/>
          <w:sz w:val="24"/>
          <w:szCs w:val="24"/>
        </w:rPr>
        <w:t xml:space="preserve">Cohen, L. </w:t>
      </w:r>
      <w:proofErr w:type="spellStart"/>
      <w:r w:rsidRPr="00F40E54">
        <w:rPr>
          <w:rFonts w:asciiTheme="majorHAnsi" w:hAnsiTheme="majorHAnsi" w:cs="Times New Roman"/>
          <w:sz w:val="24"/>
          <w:szCs w:val="24"/>
        </w:rPr>
        <w:t>Manion</w:t>
      </w:r>
      <w:proofErr w:type="spellEnd"/>
      <w:r w:rsidRPr="00F40E54">
        <w:rPr>
          <w:rFonts w:asciiTheme="majorHAnsi" w:hAnsiTheme="majorHAnsi" w:cs="Times New Roman"/>
          <w:sz w:val="24"/>
          <w:szCs w:val="24"/>
        </w:rPr>
        <w:t>, L. and Morrison, K.</w:t>
      </w:r>
      <w:r w:rsidRPr="00F40E54">
        <w:rPr>
          <w:rFonts w:asciiTheme="majorHAnsi" w:hAnsiTheme="majorHAnsi" w:cs="Times New Roman"/>
          <w:i/>
          <w:iCs/>
          <w:sz w:val="24"/>
          <w:szCs w:val="24"/>
        </w:rPr>
        <w:t xml:space="preserve"> </w:t>
      </w:r>
      <w:r w:rsidRPr="00F40E54">
        <w:rPr>
          <w:rFonts w:asciiTheme="majorHAnsi" w:hAnsiTheme="majorHAnsi" w:cs="Times New Roman"/>
          <w:iCs/>
          <w:sz w:val="24"/>
          <w:szCs w:val="24"/>
        </w:rPr>
        <w:t>(7</w:t>
      </w:r>
      <w:r w:rsidRPr="00F40E54">
        <w:rPr>
          <w:rFonts w:asciiTheme="majorHAnsi" w:hAnsiTheme="majorHAnsi" w:cs="Times New Roman"/>
          <w:iCs/>
          <w:sz w:val="24"/>
          <w:szCs w:val="24"/>
          <w:vertAlign w:val="superscript"/>
        </w:rPr>
        <w:t>th</w:t>
      </w:r>
      <w:r w:rsidRPr="00F40E54">
        <w:rPr>
          <w:rFonts w:asciiTheme="majorHAnsi" w:hAnsiTheme="majorHAnsi" w:cs="Times New Roman"/>
          <w:iCs/>
          <w:sz w:val="24"/>
          <w:szCs w:val="24"/>
        </w:rPr>
        <w:t xml:space="preserve"> edition), 344-361, Abingdon,</w:t>
      </w:r>
      <w:r w:rsidRPr="00F40E54">
        <w:rPr>
          <w:rFonts w:asciiTheme="majorHAnsi" w:hAnsiTheme="majorHAnsi" w:cs="Times New Roman"/>
          <w:sz w:val="24"/>
          <w:szCs w:val="24"/>
        </w:rPr>
        <w:t xml:space="preserve"> Routledge</w:t>
      </w:r>
    </w:p>
    <w:p w14:paraId="517A44E9" w14:textId="77777777" w:rsidR="003C6416" w:rsidRPr="00F40E54" w:rsidRDefault="003C6416" w:rsidP="00B75754">
      <w:pPr>
        <w:autoSpaceDE w:val="0"/>
        <w:autoSpaceDN w:val="0"/>
        <w:adjustRightInd w:val="0"/>
        <w:spacing w:after="0" w:line="276" w:lineRule="auto"/>
        <w:rPr>
          <w:rFonts w:asciiTheme="majorHAnsi" w:hAnsiTheme="majorHAnsi" w:cs="Times New Roman"/>
          <w:sz w:val="24"/>
          <w:szCs w:val="24"/>
        </w:rPr>
      </w:pPr>
    </w:p>
    <w:p w14:paraId="3D0DB248" w14:textId="1A7B4BCA" w:rsidR="00AC1554" w:rsidRPr="00F40E54" w:rsidRDefault="003C6416" w:rsidP="009E085B">
      <w:pPr>
        <w:spacing w:after="0" w:line="276" w:lineRule="auto"/>
        <w:rPr>
          <w:rFonts w:asciiTheme="majorHAnsi" w:hAnsiTheme="majorHAnsi" w:cs="BemboStd"/>
          <w:sz w:val="24"/>
          <w:szCs w:val="24"/>
        </w:rPr>
      </w:pPr>
      <w:r w:rsidRPr="00F40E54">
        <w:rPr>
          <w:rFonts w:asciiTheme="majorHAnsi" w:hAnsiTheme="majorHAnsi" w:cs="BemboStd"/>
          <w:sz w:val="24"/>
          <w:szCs w:val="24"/>
        </w:rPr>
        <w:lastRenderedPageBreak/>
        <w:t xml:space="preserve">Cole, M. John-Steiner, V. Scribner, S. and </w:t>
      </w:r>
      <w:proofErr w:type="spellStart"/>
      <w:r w:rsidRPr="00F40E54">
        <w:rPr>
          <w:rFonts w:asciiTheme="majorHAnsi" w:hAnsiTheme="majorHAnsi" w:cs="BemboStd"/>
          <w:sz w:val="24"/>
          <w:szCs w:val="24"/>
        </w:rPr>
        <w:t>Souberman</w:t>
      </w:r>
      <w:proofErr w:type="spellEnd"/>
      <w:r w:rsidRPr="00F40E54">
        <w:rPr>
          <w:rFonts w:asciiTheme="majorHAnsi" w:hAnsiTheme="majorHAnsi" w:cs="BemboStd"/>
          <w:sz w:val="24"/>
          <w:szCs w:val="24"/>
        </w:rPr>
        <w:t>, E. (</w:t>
      </w:r>
      <w:proofErr w:type="spellStart"/>
      <w:proofErr w:type="gramStart"/>
      <w:r w:rsidRPr="00F40E54">
        <w:rPr>
          <w:rFonts w:asciiTheme="majorHAnsi" w:hAnsiTheme="majorHAnsi" w:cs="BemboStd"/>
          <w:sz w:val="24"/>
          <w:szCs w:val="24"/>
        </w:rPr>
        <w:t>eds</w:t>
      </w:r>
      <w:proofErr w:type="spellEnd"/>
      <w:proofErr w:type="gramEnd"/>
      <w:r w:rsidRPr="00F40E54">
        <w:rPr>
          <w:rFonts w:asciiTheme="majorHAnsi" w:hAnsiTheme="majorHAnsi" w:cs="BemboStd"/>
          <w:sz w:val="24"/>
          <w:szCs w:val="24"/>
        </w:rPr>
        <w:t xml:space="preserve">) (1978) </w:t>
      </w:r>
      <w:r w:rsidRPr="00F40E54">
        <w:rPr>
          <w:rFonts w:asciiTheme="majorHAnsi" w:hAnsiTheme="majorHAnsi" w:cs="BemboStd"/>
          <w:i/>
          <w:sz w:val="24"/>
          <w:szCs w:val="24"/>
        </w:rPr>
        <w:t xml:space="preserve">L.S. Vygotsky: Mind in society, the development of higher psychological processes. </w:t>
      </w:r>
      <w:r w:rsidRPr="00F40E54">
        <w:rPr>
          <w:rFonts w:asciiTheme="majorHAnsi" w:hAnsiTheme="majorHAnsi" w:cs="BemboStd"/>
          <w:sz w:val="24"/>
          <w:szCs w:val="24"/>
        </w:rPr>
        <w:t>London, Harvard University Press.</w:t>
      </w:r>
    </w:p>
    <w:p w14:paraId="07173E02" w14:textId="77777777" w:rsidR="009E085B" w:rsidRPr="00F40E54" w:rsidRDefault="009E085B" w:rsidP="009E085B">
      <w:pPr>
        <w:spacing w:after="0" w:line="276" w:lineRule="auto"/>
        <w:rPr>
          <w:rFonts w:asciiTheme="majorHAnsi" w:eastAsia="Calibri" w:hAnsiTheme="majorHAnsi" w:cs="Arial"/>
          <w:sz w:val="24"/>
          <w:szCs w:val="24"/>
        </w:rPr>
      </w:pPr>
    </w:p>
    <w:p w14:paraId="55CDF2A8" w14:textId="77777777" w:rsidR="003C6416" w:rsidRPr="00F40E54" w:rsidRDefault="003C6416" w:rsidP="00B75754">
      <w:pPr>
        <w:spacing w:after="0" w:line="276" w:lineRule="auto"/>
        <w:rPr>
          <w:rFonts w:asciiTheme="majorHAnsi" w:eastAsia="Calibri" w:hAnsiTheme="majorHAnsi" w:cs="Arial"/>
          <w:sz w:val="24"/>
          <w:szCs w:val="24"/>
        </w:rPr>
      </w:pPr>
      <w:proofErr w:type="spellStart"/>
      <w:r w:rsidRPr="00F40E54">
        <w:rPr>
          <w:rFonts w:asciiTheme="majorHAnsi" w:eastAsia="Calibri" w:hAnsiTheme="majorHAnsi" w:cs="Arial"/>
          <w:sz w:val="24"/>
          <w:szCs w:val="24"/>
        </w:rPr>
        <w:t>DeVries</w:t>
      </w:r>
      <w:proofErr w:type="spellEnd"/>
      <w:r w:rsidRPr="00F40E54">
        <w:rPr>
          <w:rFonts w:asciiTheme="majorHAnsi" w:eastAsia="Calibri" w:hAnsiTheme="majorHAnsi" w:cs="Arial"/>
          <w:sz w:val="24"/>
          <w:szCs w:val="24"/>
        </w:rPr>
        <w:t xml:space="preserve">, R. and </w:t>
      </w:r>
      <w:proofErr w:type="spellStart"/>
      <w:r w:rsidRPr="00F40E54">
        <w:rPr>
          <w:rFonts w:asciiTheme="majorHAnsi" w:eastAsia="Calibri" w:hAnsiTheme="majorHAnsi" w:cs="Arial"/>
          <w:sz w:val="24"/>
          <w:szCs w:val="24"/>
        </w:rPr>
        <w:t>Zan</w:t>
      </w:r>
      <w:proofErr w:type="spellEnd"/>
      <w:r w:rsidRPr="00F40E54">
        <w:rPr>
          <w:rFonts w:asciiTheme="majorHAnsi" w:eastAsia="Calibri" w:hAnsiTheme="majorHAnsi" w:cs="Arial"/>
          <w:sz w:val="24"/>
          <w:szCs w:val="24"/>
        </w:rPr>
        <w:t xml:space="preserve">, B. (1994) </w:t>
      </w:r>
      <w:r w:rsidRPr="00F40E54">
        <w:rPr>
          <w:rFonts w:asciiTheme="majorHAnsi" w:eastAsia="Calibri" w:hAnsiTheme="majorHAnsi" w:cs="Arial"/>
          <w:i/>
          <w:sz w:val="24"/>
          <w:szCs w:val="24"/>
        </w:rPr>
        <w:t xml:space="preserve">Moral classrooms, moral children: creating a constructivist atmosphere in early education. </w:t>
      </w:r>
      <w:r w:rsidRPr="00F40E54">
        <w:rPr>
          <w:rFonts w:asciiTheme="majorHAnsi" w:eastAsia="Calibri" w:hAnsiTheme="majorHAnsi" w:cs="Arial"/>
          <w:sz w:val="24"/>
          <w:szCs w:val="24"/>
        </w:rPr>
        <w:t>New York, Teachers College Press.</w:t>
      </w:r>
    </w:p>
    <w:p w14:paraId="2FBBE1B0" w14:textId="77777777" w:rsidR="003C6416" w:rsidRPr="00F40E54" w:rsidRDefault="003C6416" w:rsidP="00B75754">
      <w:pPr>
        <w:spacing w:line="276" w:lineRule="auto"/>
        <w:rPr>
          <w:rFonts w:asciiTheme="majorHAnsi" w:eastAsia="Calibri" w:hAnsiTheme="majorHAnsi" w:cs="Arial"/>
          <w:sz w:val="24"/>
          <w:szCs w:val="24"/>
        </w:rPr>
      </w:pPr>
    </w:p>
    <w:p w14:paraId="14147A23" w14:textId="77777777" w:rsidR="003C6416" w:rsidRPr="00F40E54" w:rsidRDefault="003C6416" w:rsidP="00B75754">
      <w:pPr>
        <w:spacing w:after="0" w:line="276" w:lineRule="auto"/>
        <w:rPr>
          <w:rFonts w:asciiTheme="majorHAnsi" w:eastAsia="Calibri" w:hAnsiTheme="majorHAnsi" w:cs="Arial"/>
          <w:sz w:val="24"/>
          <w:szCs w:val="24"/>
        </w:rPr>
      </w:pPr>
      <w:r w:rsidRPr="00F40E54">
        <w:rPr>
          <w:rFonts w:asciiTheme="majorHAnsi" w:eastAsia="Calibri" w:hAnsiTheme="majorHAnsi" w:cs="Arial"/>
          <w:sz w:val="24"/>
          <w:szCs w:val="24"/>
        </w:rPr>
        <w:t xml:space="preserve">Dewey, J. (1938), </w:t>
      </w:r>
      <w:r w:rsidRPr="00F40E54">
        <w:rPr>
          <w:rFonts w:asciiTheme="majorHAnsi" w:eastAsia="Calibri" w:hAnsiTheme="majorHAnsi" w:cs="Arial"/>
          <w:i/>
          <w:sz w:val="24"/>
          <w:szCs w:val="24"/>
        </w:rPr>
        <w:t>Experience and education.</w:t>
      </w:r>
      <w:r w:rsidRPr="00F40E54">
        <w:rPr>
          <w:rFonts w:asciiTheme="majorHAnsi" w:eastAsia="Calibri" w:hAnsiTheme="majorHAnsi" w:cs="Arial"/>
          <w:sz w:val="24"/>
          <w:szCs w:val="24"/>
        </w:rPr>
        <w:t xml:space="preserve"> New York, Simon and Schuster</w:t>
      </w:r>
    </w:p>
    <w:p w14:paraId="428D2F62" w14:textId="77777777" w:rsidR="003C6416" w:rsidRPr="00F40E54" w:rsidRDefault="003C6416" w:rsidP="00B75754">
      <w:pPr>
        <w:spacing w:line="276" w:lineRule="auto"/>
        <w:rPr>
          <w:rFonts w:asciiTheme="majorHAnsi" w:eastAsia="Calibri" w:hAnsiTheme="majorHAnsi" w:cs="Arial"/>
          <w:sz w:val="24"/>
          <w:szCs w:val="24"/>
        </w:rPr>
      </w:pPr>
    </w:p>
    <w:p w14:paraId="3D5F892F" w14:textId="77777777" w:rsidR="003C6416" w:rsidRPr="00F40E54" w:rsidRDefault="003C6416" w:rsidP="00B75754">
      <w:pPr>
        <w:spacing w:after="0" w:line="276" w:lineRule="auto"/>
        <w:rPr>
          <w:rFonts w:asciiTheme="majorHAnsi" w:eastAsia="Calibri" w:hAnsiTheme="majorHAnsi" w:cs="Times New Roman"/>
          <w:sz w:val="24"/>
          <w:szCs w:val="24"/>
        </w:rPr>
      </w:pPr>
      <w:r w:rsidRPr="00F40E54">
        <w:rPr>
          <w:rFonts w:asciiTheme="majorHAnsi" w:eastAsia="Calibri" w:hAnsiTheme="majorHAnsi" w:cs="Times New Roman"/>
          <w:sz w:val="24"/>
          <w:szCs w:val="24"/>
        </w:rPr>
        <w:t xml:space="preserve">Katz, L. G. and McClellan, D.E. (1997) </w:t>
      </w:r>
      <w:r w:rsidRPr="00F40E54">
        <w:rPr>
          <w:rFonts w:asciiTheme="majorHAnsi" w:eastAsia="Calibri" w:hAnsiTheme="majorHAnsi" w:cs="Times New Roman"/>
          <w:i/>
          <w:sz w:val="24"/>
          <w:szCs w:val="24"/>
        </w:rPr>
        <w:t>Fostering children’s social competence: the teacher’s role</w:t>
      </w:r>
      <w:r w:rsidRPr="00F40E54">
        <w:rPr>
          <w:rFonts w:asciiTheme="majorHAnsi" w:eastAsia="Calibri" w:hAnsiTheme="majorHAnsi" w:cs="Times New Roman"/>
          <w:sz w:val="24"/>
          <w:szCs w:val="24"/>
        </w:rPr>
        <w:t>. Washington D.C., NAEYC</w:t>
      </w:r>
    </w:p>
    <w:p w14:paraId="151EADF6" w14:textId="77777777" w:rsidR="003C6416" w:rsidRPr="00F40E54" w:rsidRDefault="003C6416" w:rsidP="00B75754">
      <w:pPr>
        <w:spacing w:line="276" w:lineRule="auto"/>
        <w:rPr>
          <w:rFonts w:asciiTheme="majorHAnsi" w:hAnsiTheme="majorHAnsi" w:cs="Arial"/>
          <w:sz w:val="24"/>
          <w:szCs w:val="24"/>
        </w:rPr>
      </w:pPr>
    </w:p>
    <w:p w14:paraId="28CA0DB3" w14:textId="77777777" w:rsidR="003C6416" w:rsidRPr="00F40E54" w:rsidRDefault="003C6416" w:rsidP="00B75754">
      <w:pPr>
        <w:spacing w:after="0" w:line="276" w:lineRule="auto"/>
        <w:rPr>
          <w:rFonts w:asciiTheme="majorHAnsi" w:hAnsiTheme="majorHAnsi" w:cs="Arial"/>
          <w:sz w:val="24"/>
          <w:szCs w:val="24"/>
        </w:rPr>
      </w:pPr>
      <w:r w:rsidRPr="00F40E54">
        <w:rPr>
          <w:rFonts w:asciiTheme="majorHAnsi" w:hAnsiTheme="majorHAnsi" w:cs="Arial"/>
          <w:sz w:val="24"/>
          <w:szCs w:val="24"/>
        </w:rPr>
        <w:t xml:space="preserve">Malloy, H. and McMurray, P. (1996), Conflict strategies and resolutions: peer conflict in an integrated early childhood classroom, </w:t>
      </w:r>
      <w:r w:rsidRPr="00F40E54">
        <w:rPr>
          <w:rFonts w:asciiTheme="majorHAnsi" w:hAnsiTheme="majorHAnsi" w:cs="Arial"/>
          <w:i/>
          <w:sz w:val="24"/>
          <w:szCs w:val="24"/>
        </w:rPr>
        <w:t xml:space="preserve">Early Childhood Research Quarterly </w:t>
      </w:r>
      <w:r w:rsidRPr="00F40E54">
        <w:rPr>
          <w:rFonts w:asciiTheme="majorHAnsi" w:hAnsiTheme="majorHAnsi" w:cs="Arial"/>
          <w:sz w:val="24"/>
          <w:szCs w:val="24"/>
        </w:rPr>
        <w:t>11 185-206</w:t>
      </w:r>
    </w:p>
    <w:p w14:paraId="747C457C" w14:textId="77777777" w:rsidR="0019413E" w:rsidRPr="00F40E54" w:rsidRDefault="0019413E" w:rsidP="00B75754">
      <w:pPr>
        <w:spacing w:after="0" w:line="276" w:lineRule="auto"/>
        <w:rPr>
          <w:rFonts w:asciiTheme="majorHAnsi" w:hAnsiTheme="majorHAnsi" w:cs="Arial"/>
          <w:sz w:val="24"/>
          <w:szCs w:val="24"/>
        </w:rPr>
      </w:pPr>
    </w:p>
    <w:p w14:paraId="6A7C481E" w14:textId="3F12D61B" w:rsidR="003C6416" w:rsidRPr="00F40E54" w:rsidRDefault="0019413E" w:rsidP="0019413E">
      <w:pPr>
        <w:spacing w:after="0" w:line="360" w:lineRule="auto"/>
        <w:rPr>
          <w:rFonts w:asciiTheme="majorHAnsi" w:eastAsia="Calibri" w:hAnsiTheme="majorHAnsi" w:cs="Arial"/>
          <w:sz w:val="24"/>
          <w:szCs w:val="24"/>
        </w:rPr>
      </w:pPr>
      <w:r w:rsidRPr="00F40E54">
        <w:rPr>
          <w:rFonts w:asciiTheme="majorHAnsi" w:eastAsia="Calibri" w:hAnsiTheme="majorHAnsi" w:cs="Arial"/>
          <w:sz w:val="24"/>
          <w:szCs w:val="24"/>
        </w:rPr>
        <w:t xml:space="preserve">Pritchard, A. and </w:t>
      </w:r>
      <w:proofErr w:type="spellStart"/>
      <w:r w:rsidRPr="00F40E54">
        <w:rPr>
          <w:rFonts w:asciiTheme="majorHAnsi" w:eastAsia="Calibri" w:hAnsiTheme="majorHAnsi" w:cs="Arial"/>
          <w:sz w:val="24"/>
          <w:szCs w:val="24"/>
        </w:rPr>
        <w:t>Woollard</w:t>
      </w:r>
      <w:proofErr w:type="spellEnd"/>
      <w:r w:rsidRPr="00F40E54">
        <w:rPr>
          <w:rFonts w:asciiTheme="majorHAnsi" w:eastAsia="Calibri" w:hAnsiTheme="majorHAnsi" w:cs="Arial"/>
          <w:sz w:val="24"/>
          <w:szCs w:val="24"/>
        </w:rPr>
        <w:t xml:space="preserve">, J. (2010), </w:t>
      </w:r>
      <w:r w:rsidRPr="00F40E54">
        <w:rPr>
          <w:rFonts w:asciiTheme="majorHAnsi" w:eastAsia="Calibri" w:hAnsiTheme="majorHAnsi" w:cs="Arial"/>
          <w:i/>
          <w:sz w:val="24"/>
          <w:szCs w:val="24"/>
        </w:rPr>
        <w:t xml:space="preserve">Psychology for the classroom: constructivism and social learning, </w:t>
      </w:r>
      <w:r w:rsidRPr="00F40E54">
        <w:rPr>
          <w:rFonts w:asciiTheme="majorHAnsi" w:eastAsia="Calibri" w:hAnsiTheme="majorHAnsi" w:cs="Arial"/>
          <w:sz w:val="24"/>
          <w:szCs w:val="24"/>
        </w:rPr>
        <w:t>Taylor and Francis e-library [Accessed 11</w:t>
      </w:r>
      <w:r w:rsidRPr="00F40E54">
        <w:rPr>
          <w:rFonts w:asciiTheme="majorHAnsi" w:eastAsia="Calibri" w:hAnsiTheme="majorHAnsi" w:cs="Arial"/>
          <w:sz w:val="24"/>
          <w:szCs w:val="24"/>
          <w:vertAlign w:val="superscript"/>
        </w:rPr>
        <w:t>th</w:t>
      </w:r>
      <w:r w:rsidRPr="00F40E54">
        <w:rPr>
          <w:rFonts w:asciiTheme="majorHAnsi" w:eastAsia="Calibri" w:hAnsiTheme="majorHAnsi" w:cs="Arial"/>
          <w:sz w:val="24"/>
          <w:szCs w:val="24"/>
        </w:rPr>
        <w:t xml:space="preserve"> February 2012]</w:t>
      </w:r>
    </w:p>
    <w:p w14:paraId="50AC9A48" w14:textId="77777777" w:rsidR="0019413E" w:rsidRPr="00F40E54" w:rsidRDefault="0019413E" w:rsidP="0019413E">
      <w:pPr>
        <w:spacing w:after="0" w:line="360" w:lineRule="auto"/>
        <w:rPr>
          <w:rFonts w:asciiTheme="majorHAnsi" w:eastAsia="Calibri" w:hAnsiTheme="majorHAnsi" w:cs="AdvPTimes"/>
          <w:sz w:val="24"/>
          <w:szCs w:val="24"/>
        </w:rPr>
      </w:pPr>
    </w:p>
    <w:p w14:paraId="5031CD73" w14:textId="19E55D9C" w:rsidR="003C6416" w:rsidRPr="00F40E54" w:rsidRDefault="003C6416" w:rsidP="00B75754">
      <w:pPr>
        <w:autoSpaceDE w:val="0"/>
        <w:autoSpaceDN w:val="0"/>
        <w:adjustRightInd w:val="0"/>
        <w:spacing w:after="0" w:line="276" w:lineRule="auto"/>
        <w:rPr>
          <w:rFonts w:asciiTheme="majorHAnsi" w:hAnsiTheme="majorHAnsi" w:cs="AdvPTimes"/>
          <w:sz w:val="24"/>
          <w:szCs w:val="24"/>
        </w:rPr>
      </w:pPr>
      <w:r w:rsidRPr="00F40E54">
        <w:rPr>
          <w:rFonts w:asciiTheme="majorHAnsi" w:eastAsia="Calibri" w:hAnsiTheme="majorHAnsi" w:cs="Arial"/>
          <w:sz w:val="24"/>
          <w:szCs w:val="24"/>
        </w:rPr>
        <w:t>Rushton, S. (2011),</w:t>
      </w:r>
      <w:r w:rsidRPr="00F40E54">
        <w:rPr>
          <w:rFonts w:asciiTheme="majorHAnsi" w:hAnsiTheme="majorHAnsi" w:cs="AdvPTimesB"/>
          <w:sz w:val="24"/>
          <w:szCs w:val="24"/>
        </w:rPr>
        <w:t xml:space="preserve"> Neuroscience, early childhood education and play: we are doing it right!  </w:t>
      </w:r>
      <w:r w:rsidRPr="00F40E54">
        <w:rPr>
          <w:rFonts w:asciiTheme="majorHAnsi" w:hAnsiTheme="majorHAnsi" w:cs="AdvPTimes"/>
          <w:i/>
          <w:sz w:val="24"/>
          <w:szCs w:val="24"/>
        </w:rPr>
        <w:t>Early Childhood Education Journal</w:t>
      </w:r>
      <w:r w:rsidRPr="00F40E54">
        <w:rPr>
          <w:rFonts w:asciiTheme="majorHAnsi" w:hAnsiTheme="majorHAnsi" w:cs="AdvPTimes"/>
          <w:sz w:val="24"/>
          <w:szCs w:val="24"/>
        </w:rPr>
        <w:t xml:space="preserve"> 39 89–94</w:t>
      </w:r>
    </w:p>
    <w:p w14:paraId="0F44E026" w14:textId="77777777" w:rsidR="003C6416" w:rsidRPr="00F40E54" w:rsidRDefault="003C6416" w:rsidP="00B75754">
      <w:pPr>
        <w:autoSpaceDE w:val="0"/>
        <w:autoSpaceDN w:val="0"/>
        <w:adjustRightInd w:val="0"/>
        <w:spacing w:after="0" w:line="276" w:lineRule="auto"/>
        <w:rPr>
          <w:rFonts w:asciiTheme="majorHAnsi" w:hAnsiTheme="majorHAnsi" w:cs="AdvPTimes"/>
          <w:sz w:val="24"/>
          <w:szCs w:val="24"/>
        </w:rPr>
      </w:pPr>
    </w:p>
    <w:p w14:paraId="0189C575" w14:textId="5D0C2C6D" w:rsidR="003C6416" w:rsidRPr="00F40E54" w:rsidRDefault="003C6416" w:rsidP="00B75754">
      <w:pPr>
        <w:spacing w:after="0" w:line="276" w:lineRule="auto"/>
        <w:rPr>
          <w:rFonts w:asciiTheme="majorHAnsi" w:hAnsiTheme="majorHAnsi" w:cs="Trebuchet MS"/>
          <w:sz w:val="24"/>
          <w:szCs w:val="24"/>
        </w:rPr>
      </w:pPr>
      <w:r w:rsidRPr="00F40E54">
        <w:rPr>
          <w:rFonts w:asciiTheme="majorHAnsi" w:eastAsia="Calibri" w:hAnsiTheme="majorHAnsi" w:cs="Arial"/>
          <w:sz w:val="24"/>
          <w:szCs w:val="24"/>
        </w:rPr>
        <w:t xml:space="preserve">Silver, C. and Harkins, D (2007), </w:t>
      </w:r>
      <w:r w:rsidR="00B75754" w:rsidRPr="00F40E54">
        <w:rPr>
          <w:rFonts w:asciiTheme="majorHAnsi" w:hAnsiTheme="majorHAnsi" w:cs="Trebuchet MS"/>
          <w:color w:val="000000"/>
          <w:sz w:val="24"/>
          <w:szCs w:val="24"/>
        </w:rPr>
        <w:t>Labelling</w:t>
      </w:r>
      <w:r w:rsidRPr="00F40E54">
        <w:rPr>
          <w:rFonts w:asciiTheme="majorHAnsi" w:hAnsiTheme="majorHAnsi" w:cs="Trebuchet MS"/>
          <w:color w:val="000000"/>
          <w:sz w:val="24"/>
          <w:szCs w:val="24"/>
        </w:rPr>
        <w:t xml:space="preserve">, affect, and teachers' hypothetical approaches to conflict resolution: an exploratory study, </w:t>
      </w:r>
      <w:r w:rsidRPr="00F40E54">
        <w:rPr>
          <w:rFonts w:asciiTheme="majorHAnsi" w:hAnsiTheme="majorHAnsi" w:cs="Trebuchet MS"/>
          <w:i/>
          <w:color w:val="000000"/>
          <w:sz w:val="24"/>
          <w:szCs w:val="24"/>
        </w:rPr>
        <w:t xml:space="preserve">Early Education &amp; Development, </w:t>
      </w:r>
      <w:r w:rsidRPr="00F40E54">
        <w:rPr>
          <w:rFonts w:asciiTheme="majorHAnsi" w:hAnsiTheme="majorHAnsi" w:cs="Trebuchet MS"/>
          <w:color w:val="000000"/>
          <w:sz w:val="24"/>
          <w:szCs w:val="24"/>
        </w:rPr>
        <w:t xml:space="preserve">18 (4) 625-645 Available from: </w:t>
      </w:r>
      <w:r w:rsidRPr="00F40E54">
        <w:rPr>
          <w:rFonts w:asciiTheme="majorHAnsi" w:hAnsiTheme="majorHAnsi" w:cs="Trebuchet MS"/>
          <w:b/>
          <w:bCs/>
          <w:color w:val="000000"/>
          <w:sz w:val="24"/>
          <w:szCs w:val="24"/>
        </w:rPr>
        <w:t xml:space="preserve"> </w:t>
      </w:r>
      <w:hyperlink r:id="rId9" w:history="1">
        <w:r w:rsidRPr="00F40E54">
          <w:rPr>
            <w:rFonts w:asciiTheme="majorHAnsi" w:hAnsiTheme="majorHAnsi" w:cs="Trebuchet MS"/>
            <w:color w:val="0563C1" w:themeColor="hyperlink"/>
            <w:sz w:val="24"/>
            <w:szCs w:val="24"/>
            <w:u w:val="single"/>
          </w:rPr>
          <w:t>http://dx.doi.org/10.1080/10409280701681854</w:t>
        </w:r>
      </w:hyperlink>
      <w:r w:rsidRPr="00F40E54">
        <w:rPr>
          <w:rFonts w:asciiTheme="majorHAnsi" w:hAnsiTheme="majorHAnsi" w:cs="Trebuchet MS"/>
          <w:color w:val="0000FF"/>
          <w:sz w:val="24"/>
          <w:szCs w:val="24"/>
        </w:rPr>
        <w:t xml:space="preserve"> </w:t>
      </w:r>
      <w:r w:rsidRPr="00F40E54">
        <w:rPr>
          <w:rFonts w:asciiTheme="majorHAnsi" w:hAnsiTheme="majorHAnsi" w:cs="Trebuchet MS"/>
          <w:sz w:val="24"/>
          <w:szCs w:val="24"/>
        </w:rPr>
        <w:t>[Accessed 5th April 2013]</w:t>
      </w:r>
    </w:p>
    <w:p w14:paraId="2285C957" w14:textId="77777777" w:rsidR="003C6416" w:rsidRPr="00F40E54" w:rsidRDefault="003C6416" w:rsidP="00B75754">
      <w:pPr>
        <w:autoSpaceDE w:val="0"/>
        <w:autoSpaceDN w:val="0"/>
        <w:adjustRightInd w:val="0"/>
        <w:spacing w:after="0" w:line="276" w:lineRule="auto"/>
        <w:rPr>
          <w:rFonts w:asciiTheme="majorHAnsi" w:hAnsiTheme="majorHAnsi" w:cs="AdvPTimes"/>
          <w:sz w:val="24"/>
          <w:szCs w:val="24"/>
        </w:rPr>
      </w:pPr>
    </w:p>
    <w:p w14:paraId="58530D71" w14:textId="77777777" w:rsidR="003C6416" w:rsidRPr="00F40E54" w:rsidRDefault="003C6416" w:rsidP="00B75754">
      <w:pPr>
        <w:spacing w:after="0" w:line="276" w:lineRule="auto"/>
        <w:rPr>
          <w:rFonts w:asciiTheme="majorHAnsi" w:hAnsiTheme="majorHAnsi" w:cs="Arial"/>
          <w:color w:val="000000"/>
          <w:sz w:val="24"/>
          <w:szCs w:val="24"/>
        </w:rPr>
      </w:pPr>
      <w:r w:rsidRPr="00F40E54">
        <w:rPr>
          <w:rFonts w:asciiTheme="majorHAnsi" w:eastAsia="Calibri" w:hAnsiTheme="majorHAnsi" w:cs="Arial"/>
          <w:sz w:val="24"/>
          <w:szCs w:val="24"/>
        </w:rPr>
        <w:t xml:space="preserve">Stanton-Chapman, T. Denning, C. </w:t>
      </w:r>
      <w:proofErr w:type="spellStart"/>
      <w:r w:rsidRPr="00F40E54">
        <w:rPr>
          <w:rFonts w:asciiTheme="majorHAnsi" w:eastAsia="Calibri" w:hAnsiTheme="majorHAnsi" w:cs="Arial"/>
          <w:sz w:val="24"/>
          <w:szCs w:val="24"/>
        </w:rPr>
        <w:t>Roorbach</w:t>
      </w:r>
      <w:proofErr w:type="spellEnd"/>
      <w:r w:rsidRPr="00F40E54">
        <w:rPr>
          <w:rFonts w:asciiTheme="majorHAnsi" w:eastAsia="Calibri" w:hAnsiTheme="majorHAnsi" w:cs="Arial"/>
          <w:sz w:val="24"/>
          <w:szCs w:val="24"/>
        </w:rPr>
        <w:t xml:space="preserve"> Jamison, K. (2012), Communication skill building in young children with and without disabilities in a preschool classroom, </w:t>
      </w:r>
      <w:r w:rsidRPr="00F40E54">
        <w:rPr>
          <w:rFonts w:asciiTheme="majorHAnsi" w:hAnsiTheme="majorHAnsi" w:cs="Arial"/>
          <w:i/>
          <w:color w:val="000000"/>
          <w:sz w:val="24"/>
          <w:szCs w:val="24"/>
        </w:rPr>
        <w:t xml:space="preserve">The Journal of Special Education </w:t>
      </w:r>
      <w:r w:rsidRPr="00F40E54">
        <w:rPr>
          <w:rFonts w:asciiTheme="majorHAnsi" w:hAnsiTheme="majorHAnsi" w:cs="Arial"/>
          <w:color w:val="000000"/>
          <w:sz w:val="24"/>
          <w:szCs w:val="24"/>
        </w:rPr>
        <w:t>46 (78)</w:t>
      </w:r>
    </w:p>
    <w:p w14:paraId="053792A4" w14:textId="77777777" w:rsidR="003C6416" w:rsidRPr="00F40E54" w:rsidRDefault="003C6416" w:rsidP="00B75754">
      <w:pPr>
        <w:spacing w:after="0" w:line="276" w:lineRule="auto"/>
        <w:rPr>
          <w:rFonts w:asciiTheme="majorHAnsi" w:hAnsiTheme="majorHAnsi" w:cs="Arial"/>
          <w:color w:val="000000"/>
          <w:sz w:val="24"/>
          <w:szCs w:val="24"/>
        </w:rPr>
      </w:pPr>
    </w:p>
    <w:p w14:paraId="0BD446B2" w14:textId="4CF28187" w:rsidR="00975045" w:rsidRPr="00F40E54" w:rsidRDefault="003C6416" w:rsidP="00B75754">
      <w:pPr>
        <w:spacing w:after="0" w:line="276" w:lineRule="auto"/>
        <w:rPr>
          <w:rFonts w:asciiTheme="majorHAnsi" w:hAnsiTheme="majorHAnsi"/>
          <w:b/>
          <w:color w:val="FF0000"/>
          <w:sz w:val="24"/>
          <w:szCs w:val="24"/>
        </w:rPr>
      </w:pPr>
      <w:r w:rsidRPr="00F40E54">
        <w:rPr>
          <w:rFonts w:asciiTheme="majorHAnsi" w:eastAsia="Calibri" w:hAnsiTheme="majorHAnsi" w:cs="Arial"/>
          <w:sz w:val="24"/>
          <w:szCs w:val="24"/>
        </w:rPr>
        <w:t xml:space="preserve">Weare, K. and Gray, G. (2003), </w:t>
      </w:r>
      <w:proofErr w:type="gramStart"/>
      <w:r w:rsidRPr="00F40E54">
        <w:rPr>
          <w:rFonts w:asciiTheme="majorHAnsi" w:eastAsia="Calibri" w:hAnsiTheme="majorHAnsi" w:cs="Arial"/>
          <w:i/>
          <w:sz w:val="24"/>
          <w:szCs w:val="24"/>
        </w:rPr>
        <w:t>What</w:t>
      </w:r>
      <w:proofErr w:type="gramEnd"/>
      <w:r w:rsidRPr="00F40E54">
        <w:rPr>
          <w:rFonts w:asciiTheme="majorHAnsi" w:eastAsia="Calibri" w:hAnsiTheme="majorHAnsi" w:cs="Arial"/>
          <w:i/>
          <w:sz w:val="24"/>
          <w:szCs w:val="24"/>
        </w:rPr>
        <w:t xml:space="preserve"> works in developing children’s emotional and competence and wellbeing? </w:t>
      </w:r>
      <w:r w:rsidRPr="00F40E54">
        <w:rPr>
          <w:rFonts w:asciiTheme="majorHAnsi" w:eastAsia="Calibri" w:hAnsiTheme="majorHAnsi" w:cs="Arial"/>
          <w:sz w:val="24"/>
          <w:szCs w:val="24"/>
        </w:rPr>
        <w:t xml:space="preserve"> Research report number: 456, Department for Educ</w:t>
      </w:r>
      <w:r w:rsidR="00B75754" w:rsidRPr="00F40E54">
        <w:rPr>
          <w:rFonts w:asciiTheme="majorHAnsi" w:eastAsia="Calibri" w:hAnsiTheme="majorHAnsi" w:cs="Arial"/>
          <w:sz w:val="24"/>
          <w:szCs w:val="24"/>
        </w:rPr>
        <w:t xml:space="preserve">ation and Skills. Available at: </w:t>
      </w:r>
      <w:hyperlink r:id="rId10" w:history="1">
        <w:r w:rsidR="00B75754" w:rsidRPr="00F40E54">
          <w:rPr>
            <w:rStyle w:val="Hyperlink"/>
            <w:rFonts w:asciiTheme="majorHAnsi" w:eastAsia="Calibri" w:hAnsiTheme="majorHAnsi" w:cs="Arial"/>
            <w:sz w:val="24"/>
            <w:szCs w:val="24"/>
          </w:rPr>
          <w:t>http://www.playfieldinstitute.co.uk/information/pdfs/publications/Flourishing_Wellbeing/What_Works_in_Developing_Childrens_Emotional_and_Social_Competence_and_Wellbeing_publication.pdf</w:t>
        </w:r>
      </w:hyperlink>
      <w:r w:rsidRPr="00F40E54">
        <w:rPr>
          <w:rFonts w:asciiTheme="majorHAnsi" w:eastAsia="Calibri" w:hAnsiTheme="majorHAnsi" w:cs="Arial"/>
          <w:sz w:val="24"/>
          <w:szCs w:val="24"/>
        </w:rPr>
        <w:t xml:space="preserve"> [Accessed 11th February 2013]</w:t>
      </w:r>
    </w:p>
    <w:p w14:paraId="415C3EAA" w14:textId="77777777" w:rsidR="00975045" w:rsidRPr="00F40E54" w:rsidRDefault="00975045" w:rsidP="00D77D9A">
      <w:pPr>
        <w:spacing w:line="360" w:lineRule="auto"/>
        <w:rPr>
          <w:rFonts w:asciiTheme="majorHAnsi" w:hAnsiTheme="majorHAnsi"/>
          <w:color w:val="FF0000"/>
          <w:sz w:val="24"/>
          <w:szCs w:val="24"/>
        </w:rPr>
      </w:pPr>
    </w:p>
    <w:sectPr w:rsidR="00975045" w:rsidRPr="00F40E5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9302E" w14:textId="77777777" w:rsidR="00217A07" w:rsidRDefault="00217A07" w:rsidP="00D77D9A">
      <w:pPr>
        <w:spacing w:after="0" w:line="240" w:lineRule="auto"/>
      </w:pPr>
      <w:r>
        <w:separator/>
      </w:r>
    </w:p>
  </w:endnote>
  <w:endnote w:type="continuationSeparator" w:id="0">
    <w:p w14:paraId="27A89858" w14:textId="77777777" w:rsidR="00217A07" w:rsidRDefault="00217A07" w:rsidP="00D7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DanteMTPro-Bold">
    <w:panose1 w:val="00000000000000000000"/>
    <w:charset w:val="00"/>
    <w:family w:val="auto"/>
    <w:notTrueType/>
    <w:pitch w:val="default"/>
    <w:sig w:usb0="00000003" w:usb1="00000000" w:usb2="00000000" w:usb3="00000000" w:csb0="00000001" w:csb1="00000000"/>
  </w:font>
  <w:font w:name="DanteMTPro-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emboStd">
    <w:panose1 w:val="00000000000000000000"/>
    <w:charset w:val="00"/>
    <w:family w:val="roman"/>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315745"/>
      <w:docPartObj>
        <w:docPartGallery w:val="Page Numbers (Bottom of Page)"/>
        <w:docPartUnique/>
      </w:docPartObj>
    </w:sdtPr>
    <w:sdtEndPr>
      <w:rPr>
        <w:noProof/>
      </w:rPr>
    </w:sdtEndPr>
    <w:sdtContent>
      <w:p w14:paraId="5E1A6C1A" w14:textId="648C24E1" w:rsidR="00217A07" w:rsidRDefault="00217A07">
        <w:pPr>
          <w:pStyle w:val="Footer"/>
          <w:jc w:val="right"/>
        </w:pPr>
        <w:r>
          <w:fldChar w:fldCharType="begin"/>
        </w:r>
        <w:r>
          <w:instrText xml:space="preserve"> PAGE   \* MERGEFORMAT </w:instrText>
        </w:r>
        <w:r>
          <w:fldChar w:fldCharType="separate"/>
        </w:r>
        <w:r w:rsidR="00F40E54">
          <w:rPr>
            <w:noProof/>
          </w:rPr>
          <w:t>10</w:t>
        </w:r>
        <w:r>
          <w:rPr>
            <w:noProof/>
          </w:rPr>
          <w:fldChar w:fldCharType="end"/>
        </w:r>
      </w:p>
    </w:sdtContent>
  </w:sdt>
  <w:p w14:paraId="38D11FA1" w14:textId="77777777" w:rsidR="00217A07" w:rsidRDefault="00217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69AAD" w14:textId="77777777" w:rsidR="00217A07" w:rsidRDefault="00217A07" w:rsidP="00D77D9A">
      <w:pPr>
        <w:spacing w:after="0" w:line="240" w:lineRule="auto"/>
      </w:pPr>
      <w:r>
        <w:separator/>
      </w:r>
    </w:p>
  </w:footnote>
  <w:footnote w:type="continuationSeparator" w:id="0">
    <w:p w14:paraId="31767993" w14:textId="77777777" w:rsidR="00217A07" w:rsidRDefault="00217A07" w:rsidP="00D7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72D2"/>
    <w:multiLevelType w:val="hybridMultilevel"/>
    <w:tmpl w:val="7C6C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96E7E"/>
    <w:multiLevelType w:val="hybridMultilevel"/>
    <w:tmpl w:val="303CB3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C1"/>
    <w:rsid w:val="00017320"/>
    <w:rsid w:val="0002496C"/>
    <w:rsid w:val="0003601C"/>
    <w:rsid w:val="0004195B"/>
    <w:rsid w:val="000460A3"/>
    <w:rsid w:val="000A78D7"/>
    <w:rsid w:val="000D2879"/>
    <w:rsid w:val="00114E62"/>
    <w:rsid w:val="001202AF"/>
    <w:rsid w:val="00132583"/>
    <w:rsid w:val="00142D05"/>
    <w:rsid w:val="00166868"/>
    <w:rsid w:val="00171E31"/>
    <w:rsid w:val="0019413E"/>
    <w:rsid w:val="001A601F"/>
    <w:rsid w:val="001D6A0A"/>
    <w:rsid w:val="00217A07"/>
    <w:rsid w:val="0024641A"/>
    <w:rsid w:val="00264297"/>
    <w:rsid w:val="00267D4D"/>
    <w:rsid w:val="002772C8"/>
    <w:rsid w:val="00290D64"/>
    <w:rsid w:val="002D6074"/>
    <w:rsid w:val="002F4953"/>
    <w:rsid w:val="00323FDA"/>
    <w:rsid w:val="003504DB"/>
    <w:rsid w:val="00380123"/>
    <w:rsid w:val="003B4BD0"/>
    <w:rsid w:val="003C6416"/>
    <w:rsid w:val="003F5DAE"/>
    <w:rsid w:val="00403D04"/>
    <w:rsid w:val="004136C7"/>
    <w:rsid w:val="00424010"/>
    <w:rsid w:val="0047527B"/>
    <w:rsid w:val="004B4215"/>
    <w:rsid w:val="00552100"/>
    <w:rsid w:val="005C3856"/>
    <w:rsid w:val="005D12A5"/>
    <w:rsid w:val="00621338"/>
    <w:rsid w:val="006600D4"/>
    <w:rsid w:val="00666AC0"/>
    <w:rsid w:val="006831D3"/>
    <w:rsid w:val="006A47EA"/>
    <w:rsid w:val="006B0026"/>
    <w:rsid w:val="006C4B54"/>
    <w:rsid w:val="006D68B8"/>
    <w:rsid w:val="0072607C"/>
    <w:rsid w:val="007269F0"/>
    <w:rsid w:val="007A47E1"/>
    <w:rsid w:val="007C4A84"/>
    <w:rsid w:val="007F076B"/>
    <w:rsid w:val="00803661"/>
    <w:rsid w:val="00823A51"/>
    <w:rsid w:val="00843C35"/>
    <w:rsid w:val="008A2AC6"/>
    <w:rsid w:val="008A6095"/>
    <w:rsid w:val="008C68C4"/>
    <w:rsid w:val="008D6E1E"/>
    <w:rsid w:val="009541AB"/>
    <w:rsid w:val="00975045"/>
    <w:rsid w:val="00993958"/>
    <w:rsid w:val="009A38D2"/>
    <w:rsid w:val="009E085B"/>
    <w:rsid w:val="009F4F96"/>
    <w:rsid w:val="00A43E3D"/>
    <w:rsid w:val="00A85246"/>
    <w:rsid w:val="00A94BDE"/>
    <w:rsid w:val="00AA3EDE"/>
    <w:rsid w:val="00AA4459"/>
    <w:rsid w:val="00AB25B5"/>
    <w:rsid w:val="00AC1554"/>
    <w:rsid w:val="00AF758E"/>
    <w:rsid w:val="00B05E70"/>
    <w:rsid w:val="00B13654"/>
    <w:rsid w:val="00B15D78"/>
    <w:rsid w:val="00B31FAE"/>
    <w:rsid w:val="00B75754"/>
    <w:rsid w:val="00B906C8"/>
    <w:rsid w:val="00B959B1"/>
    <w:rsid w:val="00B972B3"/>
    <w:rsid w:val="00BC3AD4"/>
    <w:rsid w:val="00BD5DC0"/>
    <w:rsid w:val="00C04537"/>
    <w:rsid w:val="00C22E05"/>
    <w:rsid w:val="00C34186"/>
    <w:rsid w:val="00C525A8"/>
    <w:rsid w:val="00C71E62"/>
    <w:rsid w:val="00C96721"/>
    <w:rsid w:val="00CA2FBD"/>
    <w:rsid w:val="00CA65BC"/>
    <w:rsid w:val="00CB45F9"/>
    <w:rsid w:val="00CC561C"/>
    <w:rsid w:val="00CC7B0F"/>
    <w:rsid w:val="00CF3EF3"/>
    <w:rsid w:val="00D16504"/>
    <w:rsid w:val="00D65FCD"/>
    <w:rsid w:val="00D77D9A"/>
    <w:rsid w:val="00DA57C1"/>
    <w:rsid w:val="00DC4847"/>
    <w:rsid w:val="00DE7625"/>
    <w:rsid w:val="00E163E5"/>
    <w:rsid w:val="00E36450"/>
    <w:rsid w:val="00E66790"/>
    <w:rsid w:val="00E7696B"/>
    <w:rsid w:val="00F206F3"/>
    <w:rsid w:val="00F30985"/>
    <w:rsid w:val="00F30DD2"/>
    <w:rsid w:val="00F36AF0"/>
    <w:rsid w:val="00F40E54"/>
    <w:rsid w:val="00F70A55"/>
    <w:rsid w:val="00F74C10"/>
    <w:rsid w:val="00F8005B"/>
    <w:rsid w:val="00F868C9"/>
    <w:rsid w:val="00F954E0"/>
    <w:rsid w:val="00FA2B24"/>
    <w:rsid w:val="00FC571E"/>
    <w:rsid w:val="00FD27B6"/>
    <w:rsid w:val="00FD7BEC"/>
    <w:rsid w:val="00FE5093"/>
    <w:rsid w:val="00FE6CB8"/>
    <w:rsid w:val="00FF12AD"/>
    <w:rsid w:val="00FF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1A67"/>
  <w15:chartTrackingRefBased/>
  <w15:docId w15:val="{593A3785-C4CD-4E1C-93F2-50D50FEA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22E05"/>
    <w:rPr>
      <w:b/>
      <w:bCs/>
      <w:smallCaps/>
      <w:spacing w:val="5"/>
    </w:rPr>
  </w:style>
  <w:style w:type="paragraph" w:styleId="ListParagraph">
    <w:name w:val="List Paragraph"/>
    <w:basedOn w:val="Normal"/>
    <w:uiPriority w:val="34"/>
    <w:qFormat/>
    <w:rsid w:val="000A78D7"/>
    <w:pPr>
      <w:ind w:left="720"/>
      <w:contextualSpacing/>
    </w:pPr>
  </w:style>
  <w:style w:type="paragraph" w:styleId="Header">
    <w:name w:val="header"/>
    <w:basedOn w:val="Normal"/>
    <w:link w:val="HeaderChar"/>
    <w:uiPriority w:val="99"/>
    <w:unhideWhenUsed/>
    <w:rsid w:val="00D77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D9A"/>
  </w:style>
  <w:style w:type="paragraph" w:styleId="Footer">
    <w:name w:val="footer"/>
    <w:basedOn w:val="Normal"/>
    <w:link w:val="FooterChar"/>
    <w:uiPriority w:val="99"/>
    <w:unhideWhenUsed/>
    <w:rsid w:val="00D77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D9A"/>
  </w:style>
  <w:style w:type="table" w:styleId="TableGrid">
    <w:name w:val="Table Grid"/>
    <w:basedOn w:val="TableNormal"/>
    <w:uiPriority w:val="59"/>
    <w:rsid w:val="0024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207/s15566935eed0604_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nualreview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ayfieldinstitute.co.uk/information/pdfs/publications/Flourishing_Wellbeing/What_Works_in_Developing_Childrens_Emotional_and_Social_Competence_and_Wellbeing_publication.pdf" TargetMode="External"/><Relationship Id="rId4" Type="http://schemas.openxmlformats.org/officeDocument/2006/relationships/webSettings" Target="webSettings.xml"/><Relationship Id="rId9" Type="http://schemas.openxmlformats.org/officeDocument/2006/relationships/hyperlink" Target="http://dx.doi.org/10.1080/10409280701681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10</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Sibford School</Company>
  <LinksUpToDate>false</LinksUpToDate>
  <CharactersWithSpaces>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watson</dc:creator>
  <cp:keywords/>
  <dc:description/>
  <cp:lastModifiedBy>nicola watson</cp:lastModifiedBy>
  <cp:revision>50</cp:revision>
  <dcterms:created xsi:type="dcterms:W3CDTF">2015-08-26T12:31:00Z</dcterms:created>
  <dcterms:modified xsi:type="dcterms:W3CDTF">2015-10-22T09:28:00Z</dcterms:modified>
</cp:coreProperties>
</file>