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E3F" w:rsidRDefault="00841E3F" w:rsidP="00083E96">
      <w:pPr>
        <w:jc w:val="center"/>
        <w:rPr>
          <w:rStyle w:val="Emphasis"/>
          <w:rFonts w:cs="Arial"/>
          <w:b/>
          <w:i w:val="0"/>
          <w:color w:val="000000"/>
          <w:sz w:val="28"/>
          <w:szCs w:val="28"/>
        </w:rPr>
      </w:pPr>
      <w:bookmarkStart w:id="0" w:name="_GoBack"/>
      <w:bookmarkEnd w:id="0"/>
      <w:r>
        <w:rPr>
          <w:rStyle w:val="Emphasis"/>
          <w:rFonts w:cs="Arial"/>
          <w:b/>
          <w:i w:val="0"/>
          <w:color w:val="000000"/>
          <w:sz w:val="28"/>
          <w:szCs w:val="28"/>
        </w:rPr>
        <w:t>Students as Academic Partners Project:</w:t>
      </w:r>
    </w:p>
    <w:p w:rsidR="00F82DFE" w:rsidRPr="00083E96" w:rsidRDefault="0094759B" w:rsidP="00083E96">
      <w:pPr>
        <w:jc w:val="center"/>
        <w:rPr>
          <w:b/>
          <w:i/>
          <w:sz w:val="28"/>
          <w:szCs w:val="28"/>
        </w:rPr>
      </w:pPr>
      <w:r>
        <w:rPr>
          <w:rStyle w:val="Emphasis"/>
          <w:rFonts w:cs="Arial"/>
          <w:b/>
          <w:i w:val="0"/>
          <w:color w:val="000000"/>
          <w:sz w:val="28"/>
          <w:szCs w:val="28"/>
        </w:rPr>
        <w:t>A</w:t>
      </w:r>
      <w:r w:rsidR="00E848B6" w:rsidRPr="00083E96">
        <w:rPr>
          <w:rStyle w:val="Emphasis"/>
          <w:rFonts w:cs="Arial"/>
          <w:b/>
          <w:i w:val="0"/>
          <w:color w:val="000000"/>
          <w:sz w:val="28"/>
          <w:szCs w:val="28"/>
        </w:rPr>
        <w:t xml:space="preserve">udit of </w:t>
      </w:r>
      <w:r>
        <w:rPr>
          <w:rStyle w:val="Emphasis"/>
          <w:rFonts w:cs="Arial"/>
          <w:b/>
          <w:i w:val="0"/>
          <w:color w:val="000000"/>
          <w:sz w:val="28"/>
          <w:szCs w:val="28"/>
        </w:rPr>
        <w:t>team work practic</w:t>
      </w:r>
      <w:r w:rsidR="00E848B6" w:rsidRPr="00083E96">
        <w:rPr>
          <w:rStyle w:val="Emphasis"/>
          <w:rFonts w:cs="Arial"/>
          <w:b/>
          <w:i w:val="0"/>
          <w:color w:val="000000"/>
          <w:sz w:val="28"/>
          <w:szCs w:val="28"/>
        </w:rPr>
        <w:t>e within Worcester Business School</w:t>
      </w:r>
    </w:p>
    <w:p w:rsidR="009B03C3" w:rsidRPr="00083E96" w:rsidRDefault="00083E96" w:rsidP="00083E96">
      <w:pPr>
        <w:jc w:val="center"/>
        <w:rPr>
          <w:szCs w:val="24"/>
        </w:rPr>
      </w:pPr>
      <w:r>
        <w:rPr>
          <w:szCs w:val="24"/>
        </w:rPr>
        <w:t>Sue Barnes, Senior Lecturer</w:t>
      </w:r>
    </w:p>
    <w:p w:rsidR="00083E96" w:rsidRPr="00083E96" w:rsidRDefault="00083E96" w:rsidP="00083E96">
      <w:pPr>
        <w:jc w:val="center"/>
        <w:rPr>
          <w:szCs w:val="24"/>
        </w:rPr>
      </w:pPr>
      <w:r>
        <w:rPr>
          <w:szCs w:val="24"/>
        </w:rPr>
        <w:t xml:space="preserve">Freya Ceen, </w:t>
      </w:r>
      <w:r w:rsidRPr="00083E96">
        <w:rPr>
          <w:szCs w:val="24"/>
        </w:rPr>
        <w:t>Level 5 stud</w:t>
      </w:r>
      <w:r>
        <w:rPr>
          <w:szCs w:val="24"/>
        </w:rPr>
        <w:t>ent</w:t>
      </w:r>
    </w:p>
    <w:p w:rsidR="009B03C3" w:rsidRPr="00083E96" w:rsidRDefault="00083E96" w:rsidP="00083E96">
      <w:pPr>
        <w:jc w:val="center"/>
        <w:rPr>
          <w:szCs w:val="24"/>
        </w:rPr>
      </w:pPr>
      <w:r>
        <w:rPr>
          <w:szCs w:val="24"/>
        </w:rPr>
        <w:t>John Gardener, Senior Lecturer</w:t>
      </w:r>
    </w:p>
    <w:p w:rsidR="009B03C3" w:rsidRPr="00083E96" w:rsidRDefault="009B03C3" w:rsidP="00083E96">
      <w:pPr>
        <w:jc w:val="center"/>
        <w:rPr>
          <w:szCs w:val="24"/>
        </w:rPr>
      </w:pPr>
      <w:r w:rsidRPr="00083E96">
        <w:rPr>
          <w:szCs w:val="24"/>
        </w:rPr>
        <w:t>Mo</w:t>
      </w:r>
      <w:r w:rsidR="00083E96">
        <w:rPr>
          <w:szCs w:val="24"/>
        </w:rPr>
        <w:t>lly Hughes,</w:t>
      </w:r>
      <w:r w:rsidR="00083E96">
        <w:rPr>
          <w:szCs w:val="24"/>
        </w:rPr>
        <w:tab/>
        <w:t>Level 5 student</w:t>
      </w:r>
    </w:p>
    <w:p w:rsidR="0014381B" w:rsidRDefault="0014381B" w:rsidP="00083E96">
      <w:pPr>
        <w:rPr>
          <w:rFonts w:cs="Arial"/>
          <w:color w:val="000000"/>
          <w:szCs w:val="24"/>
        </w:rPr>
      </w:pPr>
    </w:p>
    <w:p w:rsidR="00083E96" w:rsidRPr="0014381B" w:rsidRDefault="00083E96" w:rsidP="00083E96">
      <w:pPr>
        <w:rPr>
          <w:szCs w:val="24"/>
        </w:rPr>
      </w:pPr>
      <w:r w:rsidRPr="0014381B">
        <w:rPr>
          <w:rFonts w:cs="Arial"/>
          <w:color w:val="000000"/>
          <w:szCs w:val="24"/>
        </w:rPr>
        <w:t>Barnes S, Ceen F, Gardener J and Hughes M (2015)</w:t>
      </w:r>
      <w:r w:rsidRPr="0014381B">
        <w:rPr>
          <w:rStyle w:val="apple-converted-space"/>
          <w:rFonts w:cs="Arial"/>
          <w:color w:val="000000"/>
          <w:szCs w:val="24"/>
        </w:rPr>
        <w:t> </w:t>
      </w:r>
      <w:r w:rsidRPr="0014381B">
        <w:rPr>
          <w:rStyle w:val="Emphasis"/>
          <w:rFonts w:cs="Arial"/>
          <w:color w:val="000000"/>
          <w:szCs w:val="24"/>
        </w:rPr>
        <w:t>“</w:t>
      </w:r>
      <w:r w:rsidR="00841E3F">
        <w:rPr>
          <w:rStyle w:val="Emphasis"/>
          <w:rFonts w:cs="Arial"/>
          <w:color w:val="000000"/>
          <w:szCs w:val="24"/>
        </w:rPr>
        <w:t>Students as Academic Partners Project: A</w:t>
      </w:r>
      <w:r w:rsidRPr="0014381B">
        <w:rPr>
          <w:rStyle w:val="Emphasis"/>
          <w:rFonts w:cs="Arial"/>
          <w:color w:val="000000"/>
          <w:szCs w:val="24"/>
        </w:rPr>
        <w:t>udit of team work practi</w:t>
      </w:r>
      <w:r w:rsidR="00841E3F">
        <w:rPr>
          <w:rStyle w:val="Emphasis"/>
          <w:rFonts w:cs="Arial"/>
          <w:color w:val="000000"/>
          <w:szCs w:val="24"/>
        </w:rPr>
        <w:t>c</w:t>
      </w:r>
      <w:r w:rsidRPr="0014381B">
        <w:rPr>
          <w:rStyle w:val="Emphasis"/>
          <w:rFonts w:cs="Arial"/>
          <w:color w:val="000000"/>
          <w:szCs w:val="24"/>
        </w:rPr>
        <w:t>e within Worcester Business School”</w:t>
      </w:r>
      <w:r w:rsidR="0014381B" w:rsidRPr="0014381B">
        <w:rPr>
          <w:rStyle w:val="apple-converted-space"/>
          <w:rFonts w:cs="Arial"/>
          <w:color w:val="000000"/>
          <w:szCs w:val="24"/>
        </w:rPr>
        <w:t> University</w:t>
      </w:r>
      <w:r w:rsidR="00B7166F">
        <w:rPr>
          <w:rFonts w:cs="Arial"/>
          <w:color w:val="000000"/>
          <w:szCs w:val="24"/>
        </w:rPr>
        <w:t xml:space="preserve"> of Worcester 14</w:t>
      </w:r>
      <w:r w:rsidRPr="0014381B">
        <w:rPr>
          <w:rFonts w:cs="Arial"/>
          <w:color w:val="000000"/>
          <w:szCs w:val="24"/>
          <w:vertAlign w:val="superscript"/>
        </w:rPr>
        <w:t>th</w:t>
      </w:r>
      <w:r w:rsidRPr="0014381B">
        <w:rPr>
          <w:rFonts w:cs="Arial"/>
          <w:color w:val="000000"/>
          <w:szCs w:val="24"/>
        </w:rPr>
        <w:t xml:space="preserve"> Annual Learning, Teaching and Student Experience Conference, June 2015</w:t>
      </w:r>
    </w:p>
    <w:sdt>
      <w:sdtPr>
        <w:rPr>
          <w:rFonts w:asciiTheme="minorHAnsi" w:eastAsiaTheme="minorHAnsi" w:hAnsiTheme="minorHAnsi" w:cstheme="minorBidi"/>
          <w:b w:val="0"/>
          <w:bCs w:val="0"/>
          <w:color w:val="auto"/>
          <w:sz w:val="24"/>
          <w:szCs w:val="22"/>
          <w:lang w:val="en-GB"/>
        </w:rPr>
        <w:id w:val="1725465"/>
        <w:docPartObj>
          <w:docPartGallery w:val="Table of Contents"/>
          <w:docPartUnique/>
        </w:docPartObj>
      </w:sdtPr>
      <w:sdtEndPr/>
      <w:sdtContent>
        <w:p w:rsidR="00083E96" w:rsidRDefault="00083E96">
          <w:pPr>
            <w:pStyle w:val="TOCHeading"/>
          </w:pPr>
          <w:r>
            <w:t>Contents</w:t>
          </w:r>
        </w:p>
        <w:p w:rsidR="005051CE" w:rsidRDefault="006B66EB">
          <w:pPr>
            <w:pStyle w:val="TOC2"/>
            <w:tabs>
              <w:tab w:val="right" w:leader="dot" w:pos="9628"/>
            </w:tabs>
            <w:rPr>
              <w:rFonts w:eastAsiaTheme="minorEastAsia"/>
              <w:noProof/>
              <w:sz w:val="22"/>
              <w:lang w:eastAsia="en-GB"/>
            </w:rPr>
          </w:pPr>
          <w:r>
            <w:fldChar w:fldCharType="begin"/>
          </w:r>
          <w:r w:rsidR="00083E96">
            <w:instrText xml:space="preserve"> TOC \o "1-3" \h \z \u </w:instrText>
          </w:r>
          <w:r>
            <w:fldChar w:fldCharType="separate"/>
          </w:r>
          <w:hyperlink w:anchor="_Toc423601988" w:history="1">
            <w:r w:rsidR="005051CE" w:rsidRPr="008626D4">
              <w:rPr>
                <w:rStyle w:val="Hyperlink"/>
                <w:noProof/>
              </w:rPr>
              <w:t>Abstract</w:t>
            </w:r>
            <w:r w:rsidR="005051CE">
              <w:rPr>
                <w:noProof/>
                <w:webHidden/>
              </w:rPr>
              <w:tab/>
            </w:r>
            <w:r w:rsidR="005051CE">
              <w:rPr>
                <w:noProof/>
                <w:webHidden/>
              </w:rPr>
              <w:fldChar w:fldCharType="begin"/>
            </w:r>
            <w:r w:rsidR="005051CE">
              <w:rPr>
                <w:noProof/>
                <w:webHidden/>
              </w:rPr>
              <w:instrText xml:space="preserve"> PAGEREF _Toc423601988 \h </w:instrText>
            </w:r>
            <w:r w:rsidR="005051CE">
              <w:rPr>
                <w:noProof/>
                <w:webHidden/>
              </w:rPr>
            </w:r>
            <w:r w:rsidR="005051CE">
              <w:rPr>
                <w:noProof/>
                <w:webHidden/>
              </w:rPr>
              <w:fldChar w:fldCharType="separate"/>
            </w:r>
            <w:r w:rsidR="00FB2EC2">
              <w:rPr>
                <w:noProof/>
                <w:webHidden/>
              </w:rPr>
              <w:t>1</w:t>
            </w:r>
            <w:r w:rsidR="005051CE">
              <w:rPr>
                <w:noProof/>
                <w:webHidden/>
              </w:rPr>
              <w:fldChar w:fldCharType="end"/>
            </w:r>
          </w:hyperlink>
        </w:p>
        <w:p w:rsidR="005051CE" w:rsidRDefault="005B52DC">
          <w:pPr>
            <w:pStyle w:val="TOC2"/>
            <w:tabs>
              <w:tab w:val="right" w:leader="dot" w:pos="9628"/>
            </w:tabs>
            <w:rPr>
              <w:rFonts w:eastAsiaTheme="minorEastAsia"/>
              <w:noProof/>
              <w:sz w:val="22"/>
              <w:lang w:eastAsia="en-GB"/>
            </w:rPr>
          </w:pPr>
          <w:hyperlink w:anchor="_Toc423601989" w:history="1">
            <w:r w:rsidR="005051CE" w:rsidRPr="008626D4">
              <w:rPr>
                <w:rStyle w:val="Hyperlink"/>
                <w:noProof/>
              </w:rPr>
              <w:t>Introduction</w:t>
            </w:r>
            <w:r w:rsidR="005051CE">
              <w:rPr>
                <w:noProof/>
                <w:webHidden/>
              </w:rPr>
              <w:tab/>
            </w:r>
            <w:r w:rsidR="005051CE">
              <w:rPr>
                <w:noProof/>
                <w:webHidden/>
              </w:rPr>
              <w:fldChar w:fldCharType="begin"/>
            </w:r>
            <w:r w:rsidR="005051CE">
              <w:rPr>
                <w:noProof/>
                <w:webHidden/>
              </w:rPr>
              <w:instrText xml:space="preserve"> PAGEREF _Toc423601989 \h </w:instrText>
            </w:r>
            <w:r w:rsidR="005051CE">
              <w:rPr>
                <w:noProof/>
                <w:webHidden/>
              </w:rPr>
            </w:r>
            <w:r w:rsidR="005051CE">
              <w:rPr>
                <w:noProof/>
                <w:webHidden/>
              </w:rPr>
              <w:fldChar w:fldCharType="separate"/>
            </w:r>
            <w:r w:rsidR="00FB2EC2">
              <w:rPr>
                <w:noProof/>
                <w:webHidden/>
              </w:rPr>
              <w:t>2</w:t>
            </w:r>
            <w:r w:rsidR="005051CE">
              <w:rPr>
                <w:noProof/>
                <w:webHidden/>
              </w:rPr>
              <w:fldChar w:fldCharType="end"/>
            </w:r>
          </w:hyperlink>
        </w:p>
        <w:p w:rsidR="005051CE" w:rsidRDefault="005B52DC">
          <w:pPr>
            <w:pStyle w:val="TOC2"/>
            <w:tabs>
              <w:tab w:val="right" w:leader="dot" w:pos="9628"/>
            </w:tabs>
            <w:rPr>
              <w:rFonts w:eastAsiaTheme="minorEastAsia"/>
              <w:noProof/>
              <w:sz w:val="22"/>
              <w:lang w:eastAsia="en-GB"/>
            </w:rPr>
          </w:pPr>
          <w:hyperlink w:anchor="_Toc423601990" w:history="1">
            <w:r w:rsidR="005051CE" w:rsidRPr="008626D4">
              <w:rPr>
                <w:rStyle w:val="Hyperlink"/>
                <w:noProof/>
              </w:rPr>
              <w:t>Key Research</w:t>
            </w:r>
            <w:r w:rsidR="005051CE">
              <w:rPr>
                <w:noProof/>
                <w:webHidden/>
              </w:rPr>
              <w:tab/>
            </w:r>
            <w:r w:rsidR="005051CE">
              <w:rPr>
                <w:noProof/>
                <w:webHidden/>
              </w:rPr>
              <w:fldChar w:fldCharType="begin"/>
            </w:r>
            <w:r w:rsidR="005051CE">
              <w:rPr>
                <w:noProof/>
                <w:webHidden/>
              </w:rPr>
              <w:instrText xml:space="preserve"> PAGEREF _Toc423601990 \h </w:instrText>
            </w:r>
            <w:r w:rsidR="005051CE">
              <w:rPr>
                <w:noProof/>
                <w:webHidden/>
              </w:rPr>
            </w:r>
            <w:r w:rsidR="005051CE">
              <w:rPr>
                <w:noProof/>
                <w:webHidden/>
              </w:rPr>
              <w:fldChar w:fldCharType="separate"/>
            </w:r>
            <w:r w:rsidR="00FB2EC2">
              <w:rPr>
                <w:noProof/>
                <w:webHidden/>
              </w:rPr>
              <w:t>2</w:t>
            </w:r>
            <w:r w:rsidR="005051CE">
              <w:rPr>
                <w:noProof/>
                <w:webHidden/>
              </w:rPr>
              <w:fldChar w:fldCharType="end"/>
            </w:r>
          </w:hyperlink>
        </w:p>
        <w:p w:rsidR="005051CE" w:rsidRDefault="005B52DC">
          <w:pPr>
            <w:pStyle w:val="TOC2"/>
            <w:tabs>
              <w:tab w:val="right" w:leader="dot" w:pos="9628"/>
            </w:tabs>
            <w:rPr>
              <w:rFonts w:eastAsiaTheme="minorEastAsia"/>
              <w:noProof/>
              <w:sz w:val="22"/>
              <w:lang w:eastAsia="en-GB"/>
            </w:rPr>
          </w:pPr>
          <w:hyperlink w:anchor="_Toc423601991" w:history="1">
            <w:r w:rsidR="005051CE" w:rsidRPr="008626D4">
              <w:rPr>
                <w:rStyle w:val="Hyperlink"/>
                <w:noProof/>
              </w:rPr>
              <w:t>Our Approach</w:t>
            </w:r>
            <w:r w:rsidR="005051CE">
              <w:rPr>
                <w:noProof/>
                <w:webHidden/>
              </w:rPr>
              <w:tab/>
            </w:r>
            <w:r w:rsidR="005051CE">
              <w:rPr>
                <w:noProof/>
                <w:webHidden/>
              </w:rPr>
              <w:fldChar w:fldCharType="begin"/>
            </w:r>
            <w:r w:rsidR="005051CE">
              <w:rPr>
                <w:noProof/>
                <w:webHidden/>
              </w:rPr>
              <w:instrText xml:space="preserve"> PAGEREF _Toc423601991 \h </w:instrText>
            </w:r>
            <w:r w:rsidR="005051CE">
              <w:rPr>
                <w:noProof/>
                <w:webHidden/>
              </w:rPr>
            </w:r>
            <w:r w:rsidR="005051CE">
              <w:rPr>
                <w:noProof/>
                <w:webHidden/>
              </w:rPr>
              <w:fldChar w:fldCharType="separate"/>
            </w:r>
            <w:r w:rsidR="00FB2EC2">
              <w:rPr>
                <w:noProof/>
                <w:webHidden/>
              </w:rPr>
              <w:t>2</w:t>
            </w:r>
            <w:r w:rsidR="005051CE">
              <w:rPr>
                <w:noProof/>
                <w:webHidden/>
              </w:rPr>
              <w:fldChar w:fldCharType="end"/>
            </w:r>
          </w:hyperlink>
        </w:p>
        <w:p w:rsidR="005051CE" w:rsidRDefault="005B52DC">
          <w:pPr>
            <w:pStyle w:val="TOC2"/>
            <w:tabs>
              <w:tab w:val="right" w:leader="dot" w:pos="9628"/>
            </w:tabs>
            <w:rPr>
              <w:rFonts w:eastAsiaTheme="minorEastAsia"/>
              <w:noProof/>
              <w:sz w:val="22"/>
              <w:lang w:eastAsia="en-GB"/>
            </w:rPr>
          </w:pPr>
          <w:hyperlink w:anchor="_Toc423601992" w:history="1">
            <w:r w:rsidR="005051CE" w:rsidRPr="008626D4">
              <w:rPr>
                <w:rStyle w:val="Hyperlink"/>
                <w:noProof/>
              </w:rPr>
              <w:t>Findings</w:t>
            </w:r>
            <w:r w:rsidR="005051CE">
              <w:rPr>
                <w:noProof/>
                <w:webHidden/>
              </w:rPr>
              <w:tab/>
            </w:r>
            <w:r w:rsidR="005051CE">
              <w:rPr>
                <w:noProof/>
                <w:webHidden/>
              </w:rPr>
              <w:fldChar w:fldCharType="begin"/>
            </w:r>
            <w:r w:rsidR="005051CE">
              <w:rPr>
                <w:noProof/>
                <w:webHidden/>
              </w:rPr>
              <w:instrText xml:space="preserve"> PAGEREF _Toc423601992 \h </w:instrText>
            </w:r>
            <w:r w:rsidR="005051CE">
              <w:rPr>
                <w:noProof/>
                <w:webHidden/>
              </w:rPr>
            </w:r>
            <w:r w:rsidR="005051CE">
              <w:rPr>
                <w:noProof/>
                <w:webHidden/>
              </w:rPr>
              <w:fldChar w:fldCharType="separate"/>
            </w:r>
            <w:r w:rsidR="00FB2EC2">
              <w:rPr>
                <w:noProof/>
                <w:webHidden/>
              </w:rPr>
              <w:t>3</w:t>
            </w:r>
            <w:r w:rsidR="005051CE">
              <w:rPr>
                <w:noProof/>
                <w:webHidden/>
              </w:rPr>
              <w:fldChar w:fldCharType="end"/>
            </w:r>
          </w:hyperlink>
        </w:p>
        <w:p w:rsidR="005051CE" w:rsidRDefault="005B52DC">
          <w:pPr>
            <w:pStyle w:val="TOC2"/>
            <w:tabs>
              <w:tab w:val="right" w:leader="dot" w:pos="9628"/>
            </w:tabs>
            <w:rPr>
              <w:rFonts w:eastAsiaTheme="minorEastAsia"/>
              <w:noProof/>
              <w:sz w:val="22"/>
              <w:lang w:eastAsia="en-GB"/>
            </w:rPr>
          </w:pPr>
          <w:hyperlink w:anchor="_Toc423601993" w:history="1">
            <w:r w:rsidR="005051CE" w:rsidRPr="008626D4">
              <w:rPr>
                <w:rStyle w:val="Hyperlink"/>
                <w:noProof/>
              </w:rPr>
              <w:t>Observations</w:t>
            </w:r>
            <w:r w:rsidR="005051CE">
              <w:rPr>
                <w:noProof/>
                <w:webHidden/>
              </w:rPr>
              <w:tab/>
            </w:r>
            <w:r w:rsidR="005051CE">
              <w:rPr>
                <w:noProof/>
                <w:webHidden/>
              </w:rPr>
              <w:fldChar w:fldCharType="begin"/>
            </w:r>
            <w:r w:rsidR="005051CE">
              <w:rPr>
                <w:noProof/>
                <w:webHidden/>
              </w:rPr>
              <w:instrText xml:space="preserve"> PAGEREF _Toc423601993 \h </w:instrText>
            </w:r>
            <w:r w:rsidR="005051CE">
              <w:rPr>
                <w:noProof/>
                <w:webHidden/>
              </w:rPr>
            </w:r>
            <w:r w:rsidR="005051CE">
              <w:rPr>
                <w:noProof/>
                <w:webHidden/>
              </w:rPr>
              <w:fldChar w:fldCharType="separate"/>
            </w:r>
            <w:r w:rsidR="00FB2EC2">
              <w:rPr>
                <w:noProof/>
                <w:webHidden/>
              </w:rPr>
              <w:t>3</w:t>
            </w:r>
            <w:r w:rsidR="005051CE">
              <w:rPr>
                <w:noProof/>
                <w:webHidden/>
              </w:rPr>
              <w:fldChar w:fldCharType="end"/>
            </w:r>
          </w:hyperlink>
        </w:p>
        <w:p w:rsidR="005051CE" w:rsidRDefault="005B52DC">
          <w:pPr>
            <w:pStyle w:val="TOC2"/>
            <w:tabs>
              <w:tab w:val="right" w:leader="dot" w:pos="9628"/>
            </w:tabs>
            <w:rPr>
              <w:rFonts w:eastAsiaTheme="minorEastAsia"/>
              <w:noProof/>
              <w:sz w:val="22"/>
              <w:lang w:eastAsia="en-GB"/>
            </w:rPr>
          </w:pPr>
          <w:hyperlink w:anchor="_Toc423601994" w:history="1">
            <w:r w:rsidR="005051CE" w:rsidRPr="008626D4">
              <w:rPr>
                <w:rStyle w:val="Hyperlink"/>
                <w:noProof/>
              </w:rPr>
              <w:t>The Students’ View</w:t>
            </w:r>
            <w:r w:rsidR="005051CE">
              <w:rPr>
                <w:noProof/>
                <w:webHidden/>
              </w:rPr>
              <w:tab/>
            </w:r>
            <w:r w:rsidR="005051CE">
              <w:rPr>
                <w:noProof/>
                <w:webHidden/>
              </w:rPr>
              <w:fldChar w:fldCharType="begin"/>
            </w:r>
            <w:r w:rsidR="005051CE">
              <w:rPr>
                <w:noProof/>
                <w:webHidden/>
              </w:rPr>
              <w:instrText xml:space="preserve"> PAGEREF _Toc423601994 \h </w:instrText>
            </w:r>
            <w:r w:rsidR="005051CE">
              <w:rPr>
                <w:noProof/>
                <w:webHidden/>
              </w:rPr>
            </w:r>
            <w:r w:rsidR="005051CE">
              <w:rPr>
                <w:noProof/>
                <w:webHidden/>
              </w:rPr>
              <w:fldChar w:fldCharType="separate"/>
            </w:r>
            <w:r w:rsidR="00FB2EC2">
              <w:rPr>
                <w:noProof/>
                <w:webHidden/>
              </w:rPr>
              <w:t>4</w:t>
            </w:r>
            <w:r w:rsidR="005051CE">
              <w:rPr>
                <w:noProof/>
                <w:webHidden/>
              </w:rPr>
              <w:fldChar w:fldCharType="end"/>
            </w:r>
          </w:hyperlink>
        </w:p>
        <w:p w:rsidR="005051CE" w:rsidRDefault="005B52DC">
          <w:pPr>
            <w:pStyle w:val="TOC2"/>
            <w:tabs>
              <w:tab w:val="right" w:leader="dot" w:pos="9628"/>
            </w:tabs>
            <w:rPr>
              <w:rFonts w:eastAsiaTheme="minorEastAsia"/>
              <w:noProof/>
              <w:sz w:val="22"/>
              <w:lang w:eastAsia="en-GB"/>
            </w:rPr>
          </w:pPr>
          <w:hyperlink w:anchor="_Toc423601995" w:history="1">
            <w:r w:rsidR="005051CE" w:rsidRPr="008626D4">
              <w:rPr>
                <w:rStyle w:val="Hyperlink"/>
                <w:noProof/>
              </w:rPr>
              <w:t>The Tutors’ View</w:t>
            </w:r>
            <w:r w:rsidR="005051CE">
              <w:rPr>
                <w:noProof/>
                <w:webHidden/>
              </w:rPr>
              <w:tab/>
            </w:r>
            <w:r w:rsidR="005051CE">
              <w:rPr>
                <w:noProof/>
                <w:webHidden/>
              </w:rPr>
              <w:fldChar w:fldCharType="begin"/>
            </w:r>
            <w:r w:rsidR="005051CE">
              <w:rPr>
                <w:noProof/>
                <w:webHidden/>
              </w:rPr>
              <w:instrText xml:space="preserve"> PAGEREF _Toc423601995 \h </w:instrText>
            </w:r>
            <w:r w:rsidR="005051CE">
              <w:rPr>
                <w:noProof/>
                <w:webHidden/>
              </w:rPr>
            </w:r>
            <w:r w:rsidR="005051CE">
              <w:rPr>
                <w:noProof/>
                <w:webHidden/>
              </w:rPr>
              <w:fldChar w:fldCharType="separate"/>
            </w:r>
            <w:r w:rsidR="00FB2EC2">
              <w:rPr>
                <w:noProof/>
                <w:webHidden/>
              </w:rPr>
              <w:t>4</w:t>
            </w:r>
            <w:r w:rsidR="005051CE">
              <w:rPr>
                <w:noProof/>
                <w:webHidden/>
              </w:rPr>
              <w:fldChar w:fldCharType="end"/>
            </w:r>
          </w:hyperlink>
        </w:p>
        <w:p w:rsidR="005051CE" w:rsidRDefault="005B52DC">
          <w:pPr>
            <w:pStyle w:val="TOC2"/>
            <w:tabs>
              <w:tab w:val="right" w:leader="dot" w:pos="9628"/>
            </w:tabs>
            <w:rPr>
              <w:rFonts w:eastAsiaTheme="minorEastAsia"/>
              <w:noProof/>
              <w:sz w:val="22"/>
              <w:lang w:eastAsia="en-GB"/>
            </w:rPr>
          </w:pPr>
          <w:hyperlink w:anchor="_Toc423601996" w:history="1">
            <w:r w:rsidR="005051CE" w:rsidRPr="008626D4">
              <w:rPr>
                <w:rStyle w:val="Hyperlink"/>
                <w:noProof/>
              </w:rPr>
              <w:t>Recommendations</w:t>
            </w:r>
            <w:r w:rsidR="005051CE">
              <w:rPr>
                <w:noProof/>
                <w:webHidden/>
              </w:rPr>
              <w:tab/>
            </w:r>
            <w:r w:rsidR="005051CE">
              <w:rPr>
                <w:noProof/>
                <w:webHidden/>
              </w:rPr>
              <w:fldChar w:fldCharType="begin"/>
            </w:r>
            <w:r w:rsidR="005051CE">
              <w:rPr>
                <w:noProof/>
                <w:webHidden/>
              </w:rPr>
              <w:instrText xml:space="preserve"> PAGEREF _Toc423601996 \h </w:instrText>
            </w:r>
            <w:r w:rsidR="005051CE">
              <w:rPr>
                <w:noProof/>
                <w:webHidden/>
              </w:rPr>
            </w:r>
            <w:r w:rsidR="005051CE">
              <w:rPr>
                <w:noProof/>
                <w:webHidden/>
              </w:rPr>
              <w:fldChar w:fldCharType="separate"/>
            </w:r>
            <w:r w:rsidR="00FB2EC2">
              <w:rPr>
                <w:noProof/>
                <w:webHidden/>
              </w:rPr>
              <w:t>5</w:t>
            </w:r>
            <w:r w:rsidR="005051CE">
              <w:rPr>
                <w:noProof/>
                <w:webHidden/>
              </w:rPr>
              <w:fldChar w:fldCharType="end"/>
            </w:r>
          </w:hyperlink>
        </w:p>
        <w:p w:rsidR="005051CE" w:rsidRDefault="005B52DC">
          <w:pPr>
            <w:pStyle w:val="TOC2"/>
            <w:tabs>
              <w:tab w:val="right" w:leader="dot" w:pos="9628"/>
            </w:tabs>
            <w:rPr>
              <w:rFonts w:eastAsiaTheme="minorEastAsia"/>
              <w:noProof/>
              <w:sz w:val="22"/>
              <w:lang w:eastAsia="en-GB"/>
            </w:rPr>
          </w:pPr>
          <w:hyperlink w:anchor="_Toc423601997" w:history="1">
            <w:r w:rsidR="005051CE" w:rsidRPr="008626D4">
              <w:rPr>
                <w:rStyle w:val="Hyperlink"/>
                <w:noProof/>
              </w:rPr>
              <w:t>References</w:t>
            </w:r>
            <w:r w:rsidR="005051CE">
              <w:rPr>
                <w:noProof/>
                <w:webHidden/>
              </w:rPr>
              <w:tab/>
            </w:r>
            <w:r w:rsidR="005051CE">
              <w:rPr>
                <w:noProof/>
                <w:webHidden/>
              </w:rPr>
              <w:fldChar w:fldCharType="begin"/>
            </w:r>
            <w:r w:rsidR="005051CE">
              <w:rPr>
                <w:noProof/>
                <w:webHidden/>
              </w:rPr>
              <w:instrText xml:space="preserve"> PAGEREF _Toc423601997 \h </w:instrText>
            </w:r>
            <w:r w:rsidR="005051CE">
              <w:rPr>
                <w:noProof/>
                <w:webHidden/>
              </w:rPr>
            </w:r>
            <w:r w:rsidR="005051CE">
              <w:rPr>
                <w:noProof/>
                <w:webHidden/>
              </w:rPr>
              <w:fldChar w:fldCharType="separate"/>
            </w:r>
            <w:r w:rsidR="00FB2EC2">
              <w:rPr>
                <w:noProof/>
                <w:webHidden/>
              </w:rPr>
              <w:t>5</w:t>
            </w:r>
            <w:r w:rsidR="005051CE">
              <w:rPr>
                <w:noProof/>
                <w:webHidden/>
              </w:rPr>
              <w:fldChar w:fldCharType="end"/>
            </w:r>
          </w:hyperlink>
        </w:p>
        <w:p w:rsidR="005051CE" w:rsidRDefault="005B52DC">
          <w:pPr>
            <w:pStyle w:val="TOC2"/>
            <w:tabs>
              <w:tab w:val="right" w:leader="dot" w:pos="9628"/>
            </w:tabs>
            <w:rPr>
              <w:rFonts w:eastAsiaTheme="minorEastAsia"/>
              <w:noProof/>
              <w:sz w:val="22"/>
              <w:lang w:eastAsia="en-GB"/>
            </w:rPr>
          </w:pPr>
          <w:hyperlink w:anchor="_Toc423601998" w:history="1">
            <w:r w:rsidR="005051CE" w:rsidRPr="008626D4">
              <w:rPr>
                <w:rStyle w:val="Hyperlink"/>
                <w:noProof/>
              </w:rPr>
              <w:t>Conference presentation</w:t>
            </w:r>
            <w:r w:rsidR="005051CE">
              <w:rPr>
                <w:noProof/>
                <w:webHidden/>
              </w:rPr>
              <w:tab/>
            </w:r>
            <w:r w:rsidR="005051CE">
              <w:rPr>
                <w:noProof/>
                <w:webHidden/>
              </w:rPr>
              <w:fldChar w:fldCharType="begin"/>
            </w:r>
            <w:r w:rsidR="005051CE">
              <w:rPr>
                <w:noProof/>
                <w:webHidden/>
              </w:rPr>
              <w:instrText xml:space="preserve"> PAGEREF _Toc423601998 \h </w:instrText>
            </w:r>
            <w:r w:rsidR="005051CE">
              <w:rPr>
                <w:noProof/>
                <w:webHidden/>
              </w:rPr>
            </w:r>
            <w:r w:rsidR="005051CE">
              <w:rPr>
                <w:noProof/>
                <w:webHidden/>
              </w:rPr>
              <w:fldChar w:fldCharType="separate"/>
            </w:r>
            <w:r w:rsidR="00FB2EC2">
              <w:rPr>
                <w:noProof/>
                <w:webHidden/>
              </w:rPr>
              <w:t>6</w:t>
            </w:r>
            <w:r w:rsidR="005051CE">
              <w:rPr>
                <w:noProof/>
                <w:webHidden/>
              </w:rPr>
              <w:fldChar w:fldCharType="end"/>
            </w:r>
          </w:hyperlink>
        </w:p>
        <w:p w:rsidR="001D27B1" w:rsidRDefault="006B66EB" w:rsidP="001D27B1">
          <w:r>
            <w:fldChar w:fldCharType="end"/>
          </w:r>
        </w:p>
      </w:sdtContent>
    </w:sdt>
    <w:p w:rsidR="006825BD" w:rsidRDefault="006825BD" w:rsidP="00D6732D">
      <w:pPr>
        <w:pStyle w:val="Heading2"/>
      </w:pPr>
      <w:bookmarkStart w:id="1" w:name="_Toc423601988"/>
      <w:r w:rsidRPr="00083E96">
        <w:t>Abstract</w:t>
      </w:r>
      <w:bookmarkEnd w:id="1"/>
    </w:p>
    <w:p w:rsidR="0014381B" w:rsidRDefault="0014381B" w:rsidP="0014381B"/>
    <w:p w:rsidR="00281234" w:rsidRPr="00281234" w:rsidRDefault="00281234" w:rsidP="00281234">
      <w:pPr>
        <w:pStyle w:val="xmsonormal"/>
        <w:spacing w:before="0" w:beforeAutospacing="0" w:after="0" w:afterAutospacing="0"/>
        <w:rPr>
          <w:rFonts w:asciiTheme="minorHAnsi" w:eastAsiaTheme="minorEastAsia" w:hAnsiTheme="minorHAnsi"/>
        </w:rPr>
      </w:pPr>
      <w:r w:rsidRPr="00281234">
        <w:rPr>
          <w:rFonts w:asciiTheme="minorHAnsi" w:eastAsiaTheme="minorEastAsia" w:hAnsiTheme="minorHAnsi"/>
        </w:rPr>
        <w:t>The overarching aim of the Student Academic Partners (SAP) Project Scheme is to integrate students into University communities which actively support student learning.  A planned audit of current team working practices was considered to be a suitable vehicle for such a partnership.</w:t>
      </w:r>
    </w:p>
    <w:p w:rsidR="00281234" w:rsidRPr="00281234" w:rsidRDefault="00281234" w:rsidP="00281234">
      <w:pPr>
        <w:rPr>
          <w:rFonts w:eastAsiaTheme="minorEastAsia"/>
          <w:szCs w:val="24"/>
          <w:lang w:eastAsia="en-GB"/>
        </w:rPr>
      </w:pPr>
    </w:p>
    <w:p w:rsidR="00281234" w:rsidRPr="00281234" w:rsidRDefault="00281234" w:rsidP="00281234">
      <w:pPr>
        <w:rPr>
          <w:rFonts w:eastAsiaTheme="minorEastAsia"/>
          <w:szCs w:val="24"/>
          <w:lang w:eastAsia="en-GB"/>
        </w:rPr>
      </w:pPr>
      <w:r w:rsidRPr="00281234">
        <w:rPr>
          <w:rFonts w:eastAsiaTheme="minorEastAsia"/>
          <w:szCs w:val="24"/>
          <w:lang w:eastAsia="en-GB"/>
        </w:rPr>
        <w:t xml:space="preserve">The notion of team working is particularly highly prized by employers.  University tutors increasingly utilise strategies to enhance team working experience and practice.  Such skills are important in a curriculum which places an emphasis on enhancing employability and engagement skills.  Whilst not all students see the benefit, prospective employers are keen to recruit those with a high level of skill.  Employability skills in general are now routinely embedding in modules.   </w:t>
      </w:r>
    </w:p>
    <w:p w:rsidR="00281234" w:rsidRPr="00281234" w:rsidRDefault="00281234" w:rsidP="00281234">
      <w:pPr>
        <w:rPr>
          <w:rFonts w:eastAsiaTheme="minorEastAsia"/>
          <w:szCs w:val="24"/>
          <w:lang w:eastAsia="en-GB"/>
        </w:rPr>
      </w:pPr>
    </w:p>
    <w:p w:rsidR="00281234" w:rsidRPr="00281234" w:rsidRDefault="000D4201" w:rsidP="00281234">
      <w:pPr>
        <w:rPr>
          <w:rFonts w:eastAsiaTheme="minorEastAsia"/>
          <w:szCs w:val="24"/>
          <w:lang w:eastAsia="en-GB"/>
        </w:rPr>
      </w:pPr>
      <w:r>
        <w:rPr>
          <w:rFonts w:eastAsiaTheme="minorEastAsia"/>
          <w:szCs w:val="24"/>
          <w:lang w:eastAsia="en-GB"/>
        </w:rPr>
        <w:t>A</w:t>
      </w:r>
      <w:r w:rsidR="00281234" w:rsidRPr="00281234">
        <w:rPr>
          <w:rFonts w:eastAsiaTheme="minorEastAsia"/>
          <w:szCs w:val="24"/>
          <w:lang w:eastAsia="en-GB"/>
        </w:rPr>
        <w:t>n audit of undergraduate modules found that approximately one third of modules include some element of team working theory, practice and/or assessment.  A position early in the academic year was found to be prevalent, suggesting an impact on future practice.  Not all modules where team working is a part of the assessment pattern were found to include theory and practice, but the mandatory nature of such modules suggests that previous learning has taken place before the commencement of the module under scrutiny.  Some subjects were found utilise individual working practices throughout.</w:t>
      </w:r>
    </w:p>
    <w:p w:rsidR="00083E96" w:rsidRDefault="00083E96" w:rsidP="00083E96">
      <w:pPr>
        <w:pStyle w:val="Heading2"/>
      </w:pPr>
      <w:bookmarkStart w:id="2" w:name="_Toc423601989"/>
      <w:r w:rsidRPr="00083E96">
        <w:lastRenderedPageBreak/>
        <w:t>Introduction</w:t>
      </w:r>
      <w:bookmarkEnd w:id="2"/>
    </w:p>
    <w:p w:rsidR="00990EB5" w:rsidRDefault="00990EB5" w:rsidP="00990EB5">
      <w:r>
        <w:t xml:space="preserve">The impetus for this project arose from regular discussions about enhancing the student experience and issues around supporting students.  A recent discussion considered team working practices within the Business School.  At this </w:t>
      </w:r>
      <w:r w:rsidR="0094759B">
        <w:t>time the opportunity to work with</w:t>
      </w:r>
      <w:r>
        <w:t xml:space="preserve"> the </w:t>
      </w:r>
      <w:r w:rsidR="0094759B">
        <w:t>‘</w:t>
      </w:r>
      <w:r w:rsidRPr="000D4201">
        <w:rPr>
          <w:i/>
        </w:rPr>
        <w:t>Students as Academic Partners</w:t>
      </w:r>
      <w:r w:rsidR="0094759B" w:rsidRPr="000D4201">
        <w:rPr>
          <w:i/>
        </w:rPr>
        <w:t>’</w:t>
      </w:r>
      <w:r>
        <w:t xml:space="preserve"> </w:t>
      </w:r>
      <w:r w:rsidR="0094759B">
        <w:t xml:space="preserve">(SAP) </w:t>
      </w:r>
      <w:r>
        <w:t>initiative arose.  B</w:t>
      </w:r>
      <w:r w:rsidR="00F43600">
        <w:t>ringing the two together a suggest</w:t>
      </w:r>
      <w:r>
        <w:t>ion was made to audit current practice and discover how and when team wor</w:t>
      </w:r>
      <w:r w:rsidR="008A1822">
        <w:t>king sk</w:t>
      </w:r>
      <w:r w:rsidR="00F43600">
        <w:t>ills w</w:t>
      </w:r>
      <w:r w:rsidR="00841E3F">
        <w:t>ere taught, practic</w:t>
      </w:r>
      <w:r>
        <w:t xml:space="preserve">ed and assessed across the </w:t>
      </w:r>
      <w:r w:rsidR="00F43600">
        <w:t>U</w:t>
      </w:r>
      <w:r>
        <w:t xml:space="preserve">ndergraduate and Higher National Diploma </w:t>
      </w:r>
      <w:r w:rsidR="00F43600">
        <w:t xml:space="preserve">(HND) </w:t>
      </w:r>
      <w:r>
        <w:t>programmes within Worcester Business School</w:t>
      </w:r>
      <w:r w:rsidR="000544C0">
        <w:t xml:space="preserve"> (WBS)</w:t>
      </w:r>
      <w:r>
        <w:t>.</w:t>
      </w:r>
    </w:p>
    <w:p w:rsidR="00E4425B" w:rsidRDefault="00E4425B" w:rsidP="00083E96">
      <w:pPr>
        <w:pStyle w:val="Heading2"/>
      </w:pPr>
      <w:bookmarkStart w:id="3" w:name="_Toc423601990"/>
    </w:p>
    <w:p w:rsidR="00083E96" w:rsidRDefault="00083E96" w:rsidP="00083E96">
      <w:pPr>
        <w:pStyle w:val="Heading2"/>
      </w:pPr>
      <w:r w:rsidRPr="00083E96">
        <w:t>Key Research</w:t>
      </w:r>
      <w:bookmarkEnd w:id="3"/>
    </w:p>
    <w:p w:rsidR="00990EB5" w:rsidRDefault="00990EB5" w:rsidP="00D15DCB">
      <w:pPr>
        <w:rPr>
          <w:szCs w:val="24"/>
        </w:rPr>
      </w:pPr>
      <w:r w:rsidRPr="00990EB5">
        <w:rPr>
          <w:szCs w:val="24"/>
        </w:rPr>
        <w:t xml:space="preserve">Partners from industry report that team working is a crucial employability skill sought by prospective employers.  </w:t>
      </w:r>
      <w:r w:rsidR="00DF7234">
        <w:rPr>
          <w:szCs w:val="24"/>
        </w:rPr>
        <w:t>WBS</w:t>
      </w:r>
      <w:r w:rsidRPr="00990EB5">
        <w:rPr>
          <w:szCs w:val="24"/>
        </w:rPr>
        <w:t xml:space="preserve"> courses include a range of employability skills to enhance future graduates</w:t>
      </w:r>
      <w:r w:rsidR="000544C0">
        <w:rPr>
          <w:szCs w:val="24"/>
        </w:rPr>
        <w:t>’</w:t>
      </w:r>
      <w:r w:rsidRPr="00990EB5">
        <w:rPr>
          <w:szCs w:val="24"/>
        </w:rPr>
        <w:t xml:space="preserve"> prospects, but what was unclear was when and if </w:t>
      </w:r>
      <w:r w:rsidR="000544C0">
        <w:rPr>
          <w:szCs w:val="24"/>
        </w:rPr>
        <w:t>team working skills and theory we</w:t>
      </w:r>
      <w:r w:rsidRPr="00990EB5">
        <w:rPr>
          <w:szCs w:val="24"/>
        </w:rPr>
        <w:t>re taught, practiced and acces</w:t>
      </w:r>
      <w:r w:rsidR="000544C0">
        <w:rPr>
          <w:szCs w:val="24"/>
        </w:rPr>
        <w:t>sed.  Questions also arose regarding</w:t>
      </w:r>
      <w:r w:rsidRPr="00990EB5">
        <w:rPr>
          <w:szCs w:val="24"/>
        </w:rPr>
        <w:t xml:space="preserve"> the timetabling and format for activities and assessments.</w:t>
      </w:r>
    </w:p>
    <w:p w:rsidR="00DF7234" w:rsidRPr="00990EB5" w:rsidRDefault="00DF7234" w:rsidP="00D15DCB">
      <w:pPr>
        <w:rPr>
          <w:szCs w:val="24"/>
        </w:rPr>
      </w:pPr>
    </w:p>
    <w:p w:rsidR="008A1822" w:rsidRDefault="00990EB5" w:rsidP="00D15DCB">
      <w:pPr>
        <w:pStyle w:val="NoSpacing"/>
        <w:rPr>
          <w:rFonts w:cs="AdvP8114"/>
          <w:color w:val="000000"/>
          <w:szCs w:val="24"/>
        </w:rPr>
      </w:pPr>
      <w:r w:rsidRPr="00D15DCB">
        <w:rPr>
          <w:szCs w:val="24"/>
        </w:rPr>
        <w:t>Yorke (2006) define</w:t>
      </w:r>
      <w:r w:rsidR="00841E3F">
        <w:rPr>
          <w:szCs w:val="24"/>
        </w:rPr>
        <w:t>d</w:t>
      </w:r>
      <w:r w:rsidRPr="00D15DCB">
        <w:rPr>
          <w:szCs w:val="24"/>
        </w:rPr>
        <w:t xml:space="preserve"> employability as </w:t>
      </w:r>
      <w:r w:rsidRPr="00D15DCB">
        <w:rPr>
          <w:rFonts w:cs="AdvP8114"/>
          <w:color w:val="000000"/>
          <w:szCs w:val="24"/>
        </w:rPr>
        <w:t>“</w:t>
      </w:r>
      <w:r w:rsidRPr="00D15DCB">
        <w:rPr>
          <w:rFonts w:cs="AdvP8114"/>
          <w:i/>
          <w:iCs/>
          <w:color w:val="000000"/>
          <w:szCs w:val="24"/>
        </w:rPr>
        <w:t>a set of achievements – skills, understandings and personal attributes – that makes graduates more likely to gain employment and be successful in their chosen occupation, which benefits themselves, the workforce, and community and the economy</w:t>
      </w:r>
      <w:r w:rsidRPr="00D15DCB">
        <w:rPr>
          <w:rFonts w:cs="AdvP8114"/>
          <w:color w:val="000000"/>
          <w:szCs w:val="24"/>
        </w:rPr>
        <w:t>”</w:t>
      </w:r>
      <w:r w:rsidR="00D15DCB" w:rsidRPr="00D15DCB">
        <w:rPr>
          <w:rFonts w:cs="AdvP8114"/>
          <w:color w:val="000000"/>
          <w:szCs w:val="24"/>
        </w:rPr>
        <w:t xml:space="preserve"> and suggests that employability skills should be </w:t>
      </w:r>
      <w:r w:rsidR="00D15DCB" w:rsidRPr="00D15DCB">
        <w:rPr>
          <w:szCs w:val="24"/>
        </w:rPr>
        <w:t>‘</w:t>
      </w:r>
      <w:r w:rsidR="00D15DCB" w:rsidRPr="00D15DCB">
        <w:rPr>
          <w:i/>
          <w:szCs w:val="24"/>
        </w:rPr>
        <w:t xml:space="preserve">strongly aligned with the academic valuing of good learning’.  </w:t>
      </w:r>
      <w:r w:rsidR="00D15DCB" w:rsidRPr="00D15DCB">
        <w:rPr>
          <w:rFonts w:cs="AdvP8114"/>
          <w:color w:val="000000"/>
          <w:szCs w:val="24"/>
        </w:rPr>
        <w:t>Kalfa and Taksa (2015) discuss</w:t>
      </w:r>
      <w:r w:rsidR="00841E3F">
        <w:rPr>
          <w:rFonts w:cs="AdvP8114"/>
          <w:color w:val="000000"/>
          <w:szCs w:val="24"/>
        </w:rPr>
        <w:t>ed</w:t>
      </w:r>
      <w:r w:rsidR="00D15DCB" w:rsidRPr="00D15DCB">
        <w:rPr>
          <w:rFonts w:cs="AdvP8114"/>
          <w:color w:val="000000"/>
          <w:szCs w:val="24"/>
        </w:rPr>
        <w:t xml:space="preserve"> the increasing interest in </w:t>
      </w:r>
      <w:r w:rsidR="008A1822">
        <w:rPr>
          <w:rFonts w:cs="AdvP8114"/>
          <w:color w:val="000000"/>
          <w:szCs w:val="24"/>
        </w:rPr>
        <w:t xml:space="preserve">the </w:t>
      </w:r>
      <w:r w:rsidR="00D15DCB" w:rsidRPr="00D15DCB">
        <w:rPr>
          <w:rFonts w:cs="AdvP8114"/>
          <w:color w:val="000000"/>
          <w:szCs w:val="24"/>
        </w:rPr>
        <w:t>develop</w:t>
      </w:r>
      <w:r w:rsidR="008A1822">
        <w:rPr>
          <w:rFonts w:cs="AdvP8114"/>
          <w:color w:val="000000"/>
          <w:szCs w:val="24"/>
        </w:rPr>
        <w:t>ment of</w:t>
      </w:r>
      <w:r w:rsidR="00D15DCB" w:rsidRPr="00D15DCB">
        <w:rPr>
          <w:rFonts w:cs="AdvP8114"/>
          <w:color w:val="000000"/>
          <w:szCs w:val="24"/>
        </w:rPr>
        <w:t xml:space="preserve"> employability skills by the fact that universities have commitment to such skills in “</w:t>
      </w:r>
      <w:r w:rsidR="00D15DCB" w:rsidRPr="00DF7234">
        <w:rPr>
          <w:rFonts w:cs="AdvP8114"/>
          <w:i/>
          <w:color w:val="000000"/>
          <w:szCs w:val="24"/>
        </w:rPr>
        <w:t>graduate attributes”.</w:t>
      </w:r>
      <w:r w:rsidR="00D15DCB" w:rsidRPr="00D15DCB">
        <w:rPr>
          <w:rFonts w:cs="AdvP8114"/>
          <w:color w:val="000000"/>
          <w:szCs w:val="24"/>
        </w:rPr>
        <w:t xml:space="preserve">  </w:t>
      </w:r>
    </w:p>
    <w:p w:rsidR="008A1822" w:rsidRDefault="008A1822" w:rsidP="00D15DCB">
      <w:pPr>
        <w:pStyle w:val="NoSpacing"/>
        <w:rPr>
          <w:rFonts w:cs="AdvP8114"/>
          <w:color w:val="000000"/>
          <w:szCs w:val="24"/>
        </w:rPr>
      </w:pPr>
    </w:p>
    <w:p w:rsidR="00D15DCB" w:rsidRDefault="008A1822" w:rsidP="00D15DCB">
      <w:pPr>
        <w:pStyle w:val="NoSpacing"/>
        <w:rPr>
          <w:rFonts w:cs="AdvP8114"/>
          <w:color w:val="000000"/>
          <w:szCs w:val="24"/>
        </w:rPr>
      </w:pPr>
      <w:r>
        <w:rPr>
          <w:rFonts w:cs="AdvP8114"/>
          <w:color w:val="000000"/>
          <w:szCs w:val="24"/>
        </w:rPr>
        <w:t>W</w:t>
      </w:r>
      <w:r w:rsidR="00D15DCB" w:rsidRPr="00D15DCB">
        <w:rPr>
          <w:rFonts w:cs="AdvP8114"/>
          <w:color w:val="000000"/>
          <w:szCs w:val="24"/>
        </w:rPr>
        <w:t xml:space="preserve">hilst there is a great deal of literature </w:t>
      </w:r>
      <w:r w:rsidR="00DF7234" w:rsidRPr="00D15DCB">
        <w:rPr>
          <w:rFonts w:cs="AdvP8114"/>
          <w:color w:val="000000"/>
          <w:szCs w:val="24"/>
        </w:rPr>
        <w:t>extolling</w:t>
      </w:r>
      <w:r w:rsidR="00D15DCB" w:rsidRPr="00D15DCB">
        <w:rPr>
          <w:rFonts w:cs="AdvP8114"/>
          <w:color w:val="000000"/>
          <w:szCs w:val="24"/>
        </w:rPr>
        <w:t xml:space="preserve"> the </w:t>
      </w:r>
      <w:r w:rsidR="00DF7234" w:rsidRPr="00D15DCB">
        <w:rPr>
          <w:rFonts w:cs="AdvP8114"/>
          <w:color w:val="000000"/>
          <w:szCs w:val="24"/>
        </w:rPr>
        <w:t>virtues</w:t>
      </w:r>
      <w:r w:rsidR="00D15DCB" w:rsidRPr="00D15DCB">
        <w:rPr>
          <w:rFonts w:cs="AdvP8114"/>
          <w:color w:val="000000"/>
          <w:szCs w:val="24"/>
        </w:rPr>
        <w:t xml:space="preserve"> of graduate employability skills, in seeking specific academic research on team working the results were less defined.</w:t>
      </w:r>
    </w:p>
    <w:p w:rsidR="00D15DCB" w:rsidRPr="00D15DCB" w:rsidRDefault="00D15DCB" w:rsidP="00D15DCB">
      <w:pPr>
        <w:pStyle w:val="NoSpacing"/>
        <w:rPr>
          <w:rFonts w:cs="AdvP8114"/>
          <w:color w:val="000000"/>
          <w:szCs w:val="24"/>
        </w:rPr>
      </w:pPr>
    </w:p>
    <w:p w:rsidR="00D15DCB" w:rsidRDefault="00D15DCB" w:rsidP="00D15DCB">
      <w:pPr>
        <w:pStyle w:val="NoSpacing"/>
        <w:tabs>
          <w:tab w:val="num" w:pos="459"/>
        </w:tabs>
        <w:rPr>
          <w:rFonts w:cs="AdvP8114"/>
          <w:color w:val="000000"/>
          <w:szCs w:val="24"/>
        </w:rPr>
      </w:pPr>
      <w:r w:rsidRPr="00D15DCB">
        <w:rPr>
          <w:rFonts w:cs="AdvP8114"/>
          <w:color w:val="000000"/>
          <w:szCs w:val="24"/>
        </w:rPr>
        <w:t>Whatley (2012) researched team working together with planning and communication skills.  Fatmi, Hartling, Hiller, Campbell and Oswald (2013) considered team based learning and discussed the benefits of taking a</w:t>
      </w:r>
      <w:r w:rsidR="008147F5">
        <w:rPr>
          <w:rFonts w:cs="AdvP8114"/>
          <w:color w:val="000000"/>
          <w:szCs w:val="24"/>
        </w:rPr>
        <w:t xml:space="preserve"> student-</w:t>
      </w:r>
      <w:r w:rsidRPr="00D15DCB">
        <w:rPr>
          <w:rFonts w:cs="AdvP8114"/>
          <w:color w:val="000000"/>
          <w:szCs w:val="24"/>
        </w:rPr>
        <w:t xml:space="preserve">centred active learning approach.  However, Whatley (2012) also cautioned that it should be acknowledged that team working in a student context is different to </w:t>
      </w:r>
      <w:r w:rsidR="000D4201">
        <w:rPr>
          <w:rFonts w:cs="AdvP8114"/>
          <w:color w:val="000000"/>
          <w:szCs w:val="24"/>
        </w:rPr>
        <w:t xml:space="preserve">that </w:t>
      </w:r>
      <w:r w:rsidRPr="00D15DCB">
        <w:rPr>
          <w:rFonts w:cs="AdvP8114"/>
          <w:color w:val="000000"/>
          <w:szCs w:val="24"/>
        </w:rPr>
        <w:t xml:space="preserve">in </w:t>
      </w:r>
      <w:r w:rsidR="000D4201">
        <w:rPr>
          <w:rFonts w:cs="AdvP8114"/>
          <w:color w:val="000000"/>
          <w:szCs w:val="24"/>
        </w:rPr>
        <w:t>a</w:t>
      </w:r>
      <w:r w:rsidRPr="00D15DCB">
        <w:rPr>
          <w:rFonts w:cs="AdvP8114"/>
          <w:color w:val="000000"/>
          <w:szCs w:val="24"/>
        </w:rPr>
        <w:t xml:space="preserve"> workplace environment and that consideration should be given to the fact that there is a growing use of team working within organisations.  She emphasised that universities must produce graduates with knowledge and experience of team working.</w:t>
      </w:r>
    </w:p>
    <w:p w:rsidR="00E4425B" w:rsidRDefault="00E4425B" w:rsidP="006E1ACA">
      <w:pPr>
        <w:pStyle w:val="Heading2"/>
        <w:rPr>
          <w:szCs w:val="24"/>
        </w:rPr>
      </w:pPr>
      <w:bookmarkStart w:id="4" w:name="_Toc423601991"/>
    </w:p>
    <w:p w:rsidR="00083E96" w:rsidRDefault="00DF7234" w:rsidP="006E1ACA">
      <w:pPr>
        <w:pStyle w:val="Heading2"/>
      </w:pPr>
      <w:r w:rsidRPr="006E1ACA">
        <w:rPr>
          <w:szCs w:val="24"/>
        </w:rPr>
        <w:t>Our</w:t>
      </w:r>
      <w:r w:rsidR="00083E96" w:rsidRPr="006E1ACA">
        <w:t xml:space="preserve"> Approach</w:t>
      </w:r>
      <w:bookmarkEnd w:id="4"/>
    </w:p>
    <w:p w:rsidR="006E1ACA" w:rsidRDefault="00B74207" w:rsidP="006E1ACA">
      <w:r>
        <w:t xml:space="preserve">The team </w:t>
      </w:r>
      <w:r w:rsidR="00426D88">
        <w:t>were</w:t>
      </w:r>
      <w:r>
        <w:t xml:space="preserve"> keen to carry out an au</w:t>
      </w:r>
      <w:r w:rsidR="008147F5">
        <w:t>d</w:t>
      </w:r>
      <w:r>
        <w:t xml:space="preserve">it of available documentation (module outlines and assignment briefs) but </w:t>
      </w:r>
      <w:r w:rsidRPr="00426D88">
        <w:t>were</w:t>
      </w:r>
      <w:r>
        <w:t xml:space="preserve"> mindful of potential sensitivity around some module content.  All signed a confidentiality agreement but the team were not exposed to any potentially sensitive data such as grad</w:t>
      </w:r>
      <w:r w:rsidR="008147F5">
        <w:t>e</w:t>
      </w:r>
      <w:r>
        <w:t xml:space="preserve"> profiles.  The team also felt that contact with module tutors was not required at this stage, but </w:t>
      </w:r>
      <w:r w:rsidR="008147F5">
        <w:t>could be a potential option</w:t>
      </w:r>
      <w:r>
        <w:t xml:space="preserve"> should the project develop further in the future.</w:t>
      </w:r>
      <w:r w:rsidR="00957E97">
        <w:t xml:space="preserve">  All modules were either </w:t>
      </w:r>
      <w:r w:rsidR="00D1300E">
        <w:t>U</w:t>
      </w:r>
      <w:r w:rsidR="00957E97">
        <w:t>ndergraduat</w:t>
      </w:r>
      <w:r w:rsidR="00426D88">
        <w:t xml:space="preserve">e or HND, positioned within </w:t>
      </w:r>
      <w:r w:rsidR="00957E97">
        <w:t>WBS</w:t>
      </w:r>
      <w:r w:rsidR="00D1300E">
        <w:t>,</w:t>
      </w:r>
      <w:r w:rsidR="00957E97">
        <w:t xml:space="preserve"> but were not specifically identified by name or number for the purposes of the project.</w:t>
      </w:r>
    </w:p>
    <w:p w:rsidR="00083E96" w:rsidRDefault="00083E96" w:rsidP="00083E96">
      <w:pPr>
        <w:pStyle w:val="Heading2"/>
      </w:pPr>
      <w:bookmarkStart w:id="5" w:name="_Toc423601992"/>
      <w:r w:rsidRPr="00083E96">
        <w:lastRenderedPageBreak/>
        <w:t>Findings</w:t>
      </w:r>
      <w:bookmarkEnd w:id="5"/>
    </w:p>
    <w:p w:rsidR="002D5D31" w:rsidRDefault="002D5D31" w:rsidP="007637A5">
      <w:r w:rsidRPr="00742461">
        <w:t>In total</w:t>
      </w:r>
      <w:r w:rsidR="00D1300E">
        <w:t>,</w:t>
      </w:r>
      <w:r w:rsidRPr="00742461">
        <w:t xml:space="preserve"> 67 Business and 31</w:t>
      </w:r>
      <w:r w:rsidR="00D1300E">
        <w:t xml:space="preserve"> Computing modules were audited</w:t>
      </w:r>
      <w:r w:rsidRPr="00742461">
        <w:t>.  Business represented 68% and Computing 32% of the modules audited.</w:t>
      </w:r>
      <w:r w:rsidR="007637A5">
        <w:t xml:space="preserve">  However, </w:t>
      </w:r>
      <w:r w:rsidRPr="00742461">
        <w:t>64 (65%) modules were disregarded as there was no evidence of team working practices within the module documentation.</w:t>
      </w:r>
      <w:r w:rsidR="007637A5">
        <w:t xml:space="preserve">  </w:t>
      </w:r>
      <w:r w:rsidRPr="00742461">
        <w:t>9 (9%) of modules were disregarded as incomplete data was available.</w:t>
      </w:r>
    </w:p>
    <w:p w:rsidR="00426D88" w:rsidRPr="00742461" w:rsidRDefault="00426D88" w:rsidP="007637A5"/>
    <w:p w:rsidR="007637A5" w:rsidRDefault="007637A5" w:rsidP="007637A5">
      <w:r>
        <w:t>The team</w:t>
      </w:r>
      <w:r w:rsidR="002D5D31" w:rsidRPr="00742461">
        <w:t xml:space="preserve"> therefore</w:t>
      </w:r>
      <w:r w:rsidR="00D1300E">
        <w:t>,</w:t>
      </w:r>
      <w:r w:rsidR="002D5D31" w:rsidRPr="00742461">
        <w:t xml:space="preserve"> </w:t>
      </w:r>
      <w:r>
        <w:t>enquired</w:t>
      </w:r>
      <w:r w:rsidR="002D5D31" w:rsidRPr="00742461">
        <w:t xml:space="preserve"> deeper into the available do</w:t>
      </w:r>
      <w:r>
        <w:t>cumentation for 26% of modules, resulting in a working sample of 23 modules.  22 modules were found to show evidence in their schedules that team working ski</w:t>
      </w:r>
      <w:r w:rsidR="00D1300E">
        <w:t>lls were both taught and practi</w:t>
      </w:r>
      <w:r w:rsidR="00FC432F">
        <w:t>c</w:t>
      </w:r>
      <w:r>
        <w:t>ed.  This represented sixteen modules in semester 1, four in semester 2 and two modules where team working was scheduled in both semester 1 and semester 2.  The position within the seme</w:t>
      </w:r>
      <w:r w:rsidR="00D1300E">
        <w:t>sters was</w:t>
      </w:r>
      <w:r>
        <w:t xml:space="preserve"> also considered but no significance was found</w:t>
      </w:r>
      <w:r w:rsidR="00D1300E">
        <w:t>,</w:t>
      </w:r>
      <w:r>
        <w:t xml:space="preserve"> although there was some bunching of activities at the beginning of each semester.</w:t>
      </w:r>
      <w:r w:rsidR="00D6732D">
        <w:t xml:space="preserve">  </w:t>
      </w:r>
      <w:r>
        <w:t>In considering the assessment methods employed across the modules</w:t>
      </w:r>
      <w:r w:rsidR="00D1300E">
        <w:t>,</w:t>
      </w:r>
      <w:r>
        <w:t xml:space="preserve"> presentations featured highly and the overall pattern is represented in the table below:</w:t>
      </w:r>
    </w:p>
    <w:p w:rsidR="00E4425B" w:rsidRPr="00E4425B" w:rsidRDefault="00E4425B" w:rsidP="007637A5">
      <w:pPr>
        <w:rPr>
          <w:szCs w:val="24"/>
        </w:rPr>
      </w:pPr>
    </w:p>
    <w:p w:rsidR="007637A5" w:rsidRPr="00E4425B" w:rsidRDefault="007637A5" w:rsidP="007637A5">
      <w:pPr>
        <w:rPr>
          <w:szCs w:val="24"/>
        </w:rPr>
      </w:pPr>
    </w:p>
    <w:tbl>
      <w:tblPr>
        <w:tblStyle w:val="TableGrid"/>
        <w:tblW w:w="0" w:type="auto"/>
        <w:tblLayout w:type="fixed"/>
        <w:tblLook w:val="04A0" w:firstRow="1" w:lastRow="0" w:firstColumn="1" w:lastColumn="0" w:noHBand="0" w:noVBand="1"/>
      </w:tblPr>
      <w:tblGrid>
        <w:gridCol w:w="3708"/>
        <w:gridCol w:w="850"/>
        <w:gridCol w:w="851"/>
      </w:tblGrid>
      <w:tr w:rsidR="002D5D31" w:rsidRPr="00E4425B" w:rsidTr="00285851">
        <w:tc>
          <w:tcPr>
            <w:tcW w:w="3708" w:type="dxa"/>
          </w:tcPr>
          <w:p w:rsidR="002D5D31" w:rsidRPr="00E4425B" w:rsidRDefault="002D5D31" w:rsidP="00285851">
            <w:pPr>
              <w:rPr>
                <w:b/>
                <w:szCs w:val="24"/>
              </w:rPr>
            </w:pPr>
            <w:r w:rsidRPr="00E4425B">
              <w:rPr>
                <w:b/>
                <w:szCs w:val="24"/>
              </w:rPr>
              <w:t>Assessment method</w:t>
            </w:r>
          </w:p>
        </w:tc>
        <w:tc>
          <w:tcPr>
            <w:tcW w:w="850" w:type="dxa"/>
          </w:tcPr>
          <w:p w:rsidR="002D5D31" w:rsidRPr="00E4425B" w:rsidRDefault="002D5D31" w:rsidP="00285851">
            <w:pPr>
              <w:jc w:val="center"/>
              <w:rPr>
                <w:b/>
                <w:szCs w:val="24"/>
              </w:rPr>
            </w:pPr>
            <w:r w:rsidRPr="00E4425B">
              <w:rPr>
                <w:b/>
                <w:szCs w:val="24"/>
              </w:rPr>
              <w:t>BUSM</w:t>
            </w:r>
          </w:p>
        </w:tc>
        <w:tc>
          <w:tcPr>
            <w:tcW w:w="851" w:type="dxa"/>
          </w:tcPr>
          <w:p w:rsidR="002D5D31" w:rsidRPr="00E4425B" w:rsidRDefault="002D5D31" w:rsidP="00285851">
            <w:pPr>
              <w:jc w:val="center"/>
              <w:rPr>
                <w:b/>
                <w:szCs w:val="24"/>
              </w:rPr>
            </w:pPr>
            <w:r w:rsidRPr="00E4425B">
              <w:rPr>
                <w:b/>
                <w:szCs w:val="24"/>
              </w:rPr>
              <w:t>COMP</w:t>
            </w:r>
          </w:p>
        </w:tc>
      </w:tr>
      <w:tr w:rsidR="002D5D31" w:rsidRPr="00E4425B" w:rsidTr="00285851">
        <w:tc>
          <w:tcPr>
            <w:tcW w:w="3708" w:type="dxa"/>
          </w:tcPr>
          <w:p w:rsidR="002D5D31" w:rsidRPr="00E4425B" w:rsidRDefault="00D1300E" w:rsidP="00285851">
            <w:pPr>
              <w:rPr>
                <w:szCs w:val="24"/>
              </w:rPr>
            </w:pPr>
            <w:r w:rsidRPr="00E4425B">
              <w:rPr>
                <w:szCs w:val="24"/>
              </w:rPr>
              <w:t>P</w:t>
            </w:r>
            <w:r w:rsidR="002D5D31" w:rsidRPr="00E4425B">
              <w:rPr>
                <w:szCs w:val="24"/>
              </w:rPr>
              <w:t>resentation</w:t>
            </w:r>
          </w:p>
        </w:tc>
        <w:tc>
          <w:tcPr>
            <w:tcW w:w="850" w:type="dxa"/>
          </w:tcPr>
          <w:p w:rsidR="002D5D31" w:rsidRPr="00E4425B" w:rsidRDefault="002D5D31" w:rsidP="00285851">
            <w:pPr>
              <w:jc w:val="center"/>
              <w:rPr>
                <w:szCs w:val="24"/>
              </w:rPr>
            </w:pPr>
            <w:r w:rsidRPr="00E4425B">
              <w:rPr>
                <w:szCs w:val="24"/>
              </w:rPr>
              <w:t>5</w:t>
            </w:r>
          </w:p>
        </w:tc>
        <w:tc>
          <w:tcPr>
            <w:tcW w:w="851" w:type="dxa"/>
          </w:tcPr>
          <w:p w:rsidR="002D5D31" w:rsidRPr="00E4425B" w:rsidRDefault="002D5D31" w:rsidP="00285851">
            <w:pPr>
              <w:jc w:val="center"/>
              <w:rPr>
                <w:szCs w:val="24"/>
              </w:rPr>
            </w:pPr>
            <w:r w:rsidRPr="00E4425B">
              <w:rPr>
                <w:szCs w:val="24"/>
              </w:rPr>
              <w:t>1</w:t>
            </w:r>
          </w:p>
        </w:tc>
      </w:tr>
      <w:tr w:rsidR="002D5D31" w:rsidRPr="00E4425B" w:rsidTr="00285851">
        <w:tc>
          <w:tcPr>
            <w:tcW w:w="3708" w:type="dxa"/>
          </w:tcPr>
          <w:p w:rsidR="002D5D31" w:rsidRPr="00E4425B" w:rsidRDefault="002D5D31" w:rsidP="00285851">
            <w:pPr>
              <w:rPr>
                <w:szCs w:val="24"/>
              </w:rPr>
            </w:pPr>
            <w:r w:rsidRPr="00E4425B">
              <w:rPr>
                <w:szCs w:val="24"/>
              </w:rPr>
              <w:t>Presentation &amp; report</w:t>
            </w:r>
          </w:p>
        </w:tc>
        <w:tc>
          <w:tcPr>
            <w:tcW w:w="850" w:type="dxa"/>
          </w:tcPr>
          <w:p w:rsidR="002D5D31" w:rsidRPr="00E4425B" w:rsidRDefault="002D5D31" w:rsidP="00285851">
            <w:pPr>
              <w:jc w:val="center"/>
              <w:rPr>
                <w:szCs w:val="24"/>
              </w:rPr>
            </w:pPr>
            <w:r w:rsidRPr="00E4425B">
              <w:rPr>
                <w:szCs w:val="24"/>
              </w:rPr>
              <w:t>3</w:t>
            </w:r>
          </w:p>
        </w:tc>
        <w:tc>
          <w:tcPr>
            <w:tcW w:w="851" w:type="dxa"/>
          </w:tcPr>
          <w:p w:rsidR="002D5D31" w:rsidRPr="00E4425B" w:rsidRDefault="002D5D31" w:rsidP="00285851">
            <w:pPr>
              <w:jc w:val="center"/>
              <w:rPr>
                <w:szCs w:val="24"/>
              </w:rPr>
            </w:pPr>
            <w:r w:rsidRPr="00E4425B">
              <w:rPr>
                <w:szCs w:val="24"/>
              </w:rPr>
              <w:t>2</w:t>
            </w:r>
          </w:p>
        </w:tc>
      </w:tr>
      <w:tr w:rsidR="002D5D31" w:rsidRPr="00E4425B" w:rsidTr="00285851">
        <w:tc>
          <w:tcPr>
            <w:tcW w:w="3708" w:type="dxa"/>
          </w:tcPr>
          <w:p w:rsidR="002D5D31" w:rsidRPr="00E4425B" w:rsidRDefault="002D5D31" w:rsidP="00285851">
            <w:pPr>
              <w:rPr>
                <w:szCs w:val="24"/>
              </w:rPr>
            </w:pPr>
            <w:r w:rsidRPr="00E4425B">
              <w:rPr>
                <w:szCs w:val="24"/>
              </w:rPr>
              <w:t>Presentation &amp; poster</w:t>
            </w:r>
          </w:p>
        </w:tc>
        <w:tc>
          <w:tcPr>
            <w:tcW w:w="850" w:type="dxa"/>
          </w:tcPr>
          <w:p w:rsidR="002D5D31" w:rsidRPr="00E4425B" w:rsidRDefault="002D5D31" w:rsidP="00285851">
            <w:pPr>
              <w:jc w:val="center"/>
              <w:rPr>
                <w:szCs w:val="24"/>
              </w:rPr>
            </w:pPr>
            <w:r w:rsidRPr="00E4425B">
              <w:rPr>
                <w:szCs w:val="24"/>
              </w:rPr>
              <w:t>1</w:t>
            </w:r>
          </w:p>
        </w:tc>
        <w:tc>
          <w:tcPr>
            <w:tcW w:w="851" w:type="dxa"/>
          </w:tcPr>
          <w:p w:rsidR="002D5D31" w:rsidRPr="00E4425B" w:rsidRDefault="002D5D31" w:rsidP="00285851">
            <w:pPr>
              <w:jc w:val="center"/>
              <w:rPr>
                <w:szCs w:val="24"/>
              </w:rPr>
            </w:pPr>
          </w:p>
        </w:tc>
      </w:tr>
      <w:tr w:rsidR="002D5D31" w:rsidRPr="00E4425B" w:rsidTr="00285851">
        <w:tc>
          <w:tcPr>
            <w:tcW w:w="3708" w:type="dxa"/>
          </w:tcPr>
          <w:p w:rsidR="002D5D31" w:rsidRPr="00E4425B" w:rsidRDefault="002D5D31" w:rsidP="00285851">
            <w:pPr>
              <w:rPr>
                <w:szCs w:val="24"/>
              </w:rPr>
            </w:pPr>
            <w:r w:rsidRPr="00E4425B">
              <w:rPr>
                <w:szCs w:val="24"/>
              </w:rPr>
              <w:t>Presentation &amp; portfolio</w:t>
            </w:r>
          </w:p>
        </w:tc>
        <w:tc>
          <w:tcPr>
            <w:tcW w:w="850" w:type="dxa"/>
          </w:tcPr>
          <w:p w:rsidR="002D5D31" w:rsidRPr="00E4425B" w:rsidRDefault="002D5D31" w:rsidP="00285851">
            <w:pPr>
              <w:jc w:val="center"/>
              <w:rPr>
                <w:szCs w:val="24"/>
              </w:rPr>
            </w:pPr>
          </w:p>
        </w:tc>
        <w:tc>
          <w:tcPr>
            <w:tcW w:w="851" w:type="dxa"/>
          </w:tcPr>
          <w:p w:rsidR="002D5D31" w:rsidRPr="00E4425B" w:rsidRDefault="002D5D31" w:rsidP="00285851">
            <w:pPr>
              <w:jc w:val="center"/>
              <w:rPr>
                <w:szCs w:val="24"/>
              </w:rPr>
            </w:pPr>
            <w:r w:rsidRPr="00E4425B">
              <w:rPr>
                <w:szCs w:val="24"/>
              </w:rPr>
              <w:t>1</w:t>
            </w:r>
          </w:p>
        </w:tc>
      </w:tr>
      <w:tr w:rsidR="002D5D31" w:rsidRPr="00E4425B" w:rsidTr="00285851">
        <w:tc>
          <w:tcPr>
            <w:tcW w:w="3708" w:type="dxa"/>
          </w:tcPr>
          <w:p w:rsidR="002D5D31" w:rsidRPr="00E4425B" w:rsidRDefault="002D5D31" w:rsidP="00285851">
            <w:pPr>
              <w:rPr>
                <w:szCs w:val="24"/>
              </w:rPr>
            </w:pPr>
            <w:r w:rsidRPr="00E4425B">
              <w:rPr>
                <w:szCs w:val="24"/>
              </w:rPr>
              <w:t>Presentation &amp; business plan</w:t>
            </w:r>
          </w:p>
        </w:tc>
        <w:tc>
          <w:tcPr>
            <w:tcW w:w="850" w:type="dxa"/>
          </w:tcPr>
          <w:p w:rsidR="002D5D31" w:rsidRPr="00E4425B" w:rsidRDefault="002D5D31" w:rsidP="00285851">
            <w:pPr>
              <w:jc w:val="center"/>
              <w:rPr>
                <w:szCs w:val="24"/>
              </w:rPr>
            </w:pPr>
          </w:p>
        </w:tc>
        <w:tc>
          <w:tcPr>
            <w:tcW w:w="851" w:type="dxa"/>
          </w:tcPr>
          <w:p w:rsidR="002D5D31" w:rsidRPr="00E4425B" w:rsidRDefault="002D5D31" w:rsidP="00285851">
            <w:pPr>
              <w:jc w:val="center"/>
              <w:rPr>
                <w:szCs w:val="24"/>
              </w:rPr>
            </w:pPr>
            <w:r w:rsidRPr="00E4425B">
              <w:rPr>
                <w:szCs w:val="24"/>
              </w:rPr>
              <w:t>1</w:t>
            </w:r>
          </w:p>
        </w:tc>
      </w:tr>
      <w:tr w:rsidR="002D5D31" w:rsidRPr="00E4425B" w:rsidTr="00285851">
        <w:tc>
          <w:tcPr>
            <w:tcW w:w="3708" w:type="dxa"/>
          </w:tcPr>
          <w:p w:rsidR="002D5D31" w:rsidRPr="00E4425B" w:rsidRDefault="002D5D31" w:rsidP="00285851">
            <w:pPr>
              <w:rPr>
                <w:szCs w:val="24"/>
              </w:rPr>
            </w:pPr>
            <w:r w:rsidRPr="00E4425B">
              <w:rPr>
                <w:szCs w:val="24"/>
              </w:rPr>
              <w:t>Showcase and artefact</w:t>
            </w:r>
          </w:p>
        </w:tc>
        <w:tc>
          <w:tcPr>
            <w:tcW w:w="850" w:type="dxa"/>
          </w:tcPr>
          <w:p w:rsidR="002D5D31" w:rsidRPr="00E4425B" w:rsidRDefault="002D5D31" w:rsidP="00285851">
            <w:pPr>
              <w:jc w:val="center"/>
              <w:rPr>
                <w:szCs w:val="24"/>
              </w:rPr>
            </w:pPr>
          </w:p>
        </w:tc>
        <w:tc>
          <w:tcPr>
            <w:tcW w:w="851" w:type="dxa"/>
          </w:tcPr>
          <w:p w:rsidR="002D5D31" w:rsidRPr="00E4425B" w:rsidRDefault="002D5D31" w:rsidP="00285851">
            <w:pPr>
              <w:jc w:val="center"/>
              <w:rPr>
                <w:szCs w:val="24"/>
              </w:rPr>
            </w:pPr>
            <w:r w:rsidRPr="00E4425B">
              <w:rPr>
                <w:szCs w:val="24"/>
              </w:rPr>
              <w:t>3</w:t>
            </w:r>
          </w:p>
        </w:tc>
      </w:tr>
      <w:tr w:rsidR="002D5D31" w:rsidRPr="00E4425B" w:rsidTr="00285851">
        <w:tc>
          <w:tcPr>
            <w:tcW w:w="3708" w:type="dxa"/>
          </w:tcPr>
          <w:p w:rsidR="002D5D31" w:rsidRPr="00E4425B" w:rsidRDefault="002D5D31" w:rsidP="00285851">
            <w:pPr>
              <w:rPr>
                <w:szCs w:val="24"/>
              </w:rPr>
            </w:pPr>
            <w:r w:rsidRPr="00E4425B">
              <w:rPr>
                <w:szCs w:val="24"/>
              </w:rPr>
              <w:t>Individual report &amp; group research</w:t>
            </w:r>
          </w:p>
        </w:tc>
        <w:tc>
          <w:tcPr>
            <w:tcW w:w="850" w:type="dxa"/>
          </w:tcPr>
          <w:p w:rsidR="002D5D31" w:rsidRPr="00E4425B" w:rsidRDefault="002D5D31" w:rsidP="00285851">
            <w:pPr>
              <w:jc w:val="center"/>
              <w:rPr>
                <w:szCs w:val="24"/>
              </w:rPr>
            </w:pPr>
          </w:p>
        </w:tc>
        <w:tc>
          <w:tcPr>
            <w:tcW w:w="851" w:type="dxa"/>
          </w:tcPr>
          <w:p w:rsidR="002D5D31" w:rsidRPr="00E4425B" w:rsidRDefault="002D5D31" w:rsidP="00285851">
            <w:pPr>
              <w:jc w:val="center"/>
              <w:rPr>
                <w:szCs w:val="24"/>
              </w:rPr>
            </w:pPr>
            <w:r w:rsidRPr="00E4425B">
              <w:rPr>
                <w:szCs w:val="24"/>
              </w:rPr>
              <w:t>1</w:t>
            </w:r>
          </w:p>
        </w:tc>
      </w:tr>
      <w:tr w:rsidR="002D5D31" w:rsidRPr="00E4425B" w:rsidTr="00285851">
        <w:tc>
          <w:tcPr>
            <w:tcW w:w="3708" w:type="dxa"/>
          </w:tcPr>
          <w:p w:rsidR="002D5D31" w:rsidRPr="00E4425B" w:rsidRDefault="002D5D31" w:rsidP="00285851">
            <w:pPr>
              <w:rPr>
                <w:szCs w:val="24"/>
              </w:rPr>
            </w:pPr>
            <w:r w:rsidRPr="00E4425B">
              <w:rPr>
                <w:szCs w:val="24"/>
              </w:rPr>
              <w:t>Individual &amp; group portfolio</w:t>
            </w:r>
          </w:p>
        </w:tc>
        <w:tc>
          <w:tcPr>
            <w:tcW w:w="850" w:type="dxa"/>
          </w:tcPr>
          <w:p w:rsidR="002D5D31" w:rsidRPr="00E4425B" w:rsidRDefault="002D5D31" w:rsidP="00285851">
            <w:pPr>
              <w:jc w:val="center"/>
              <w:rPr>
                <w:szCs w:val="24"/>
              </w:rPr>
            </w:pPr>
          </w:p>
        </w:tc>
        <w:tc>
          <w:tcPr>
            <w:tcW w:w="851" w:type="dxa"/>
          </w:tcPr>
          <w:p w:rsidR="002D5D31" w:rsidRPr="00E4425B" w:rsidRDefault="002D5D31" w:rsidP="00285851">
            <w:pPr>
              <w:jc w:val="center"/>
              <w:rPr>
                <w:szCs w:val="24"/>
              </w:rPr>
            </w:pPr>
            <w:r w:rsidRPr="00E4425B">
              <w:rPr>
                <w:szCs w:val="24"/>
              </w:rPr>
              <w:t>1</w:t>
            </w:r>
          </w:p>
        </w:tc>
      </w:tr>
      <w:tr w:rsidR="002D5D31" w:rsidRPr="00E4425B" w:rsidTr="00285851">
        <w:tc>
          <w:tcPr>
            <w:tcW w:w="3708" w:type="dxa"/>
          </w:tcPr>
          <w:p w:rsidR="002D5D31" w:rsidRPr="00E4425B" w:rsidRDefault="002D5D31" w:rsidP="00285851">
            <w:pPr>
              <w:rPr>
                <w:szCs w:val="24"/>
              </w:rPr>
            </w:pPr>
            <w:r w:rsidRPr="00E4425B">
              <w:rPr>
                <w:szCs w:val="24"/>
              </w:rPr>
              <w:t>Team charity project</w:t>
            </w:r>
          </w:p>
        </w:tc>
        <w:tc>
          <w:tcPr>
            <w:tcW w:w="850" w:type="dxa"/>
          </w:tcPr>
          <w:p w:rsidR="002D5D31" w:rsidRPr="00E4425B" w:rsidRDefault="002D5D31" w:rsidP="00285851">
            <w:pPr>
              <w:jc w:val="center"/>
              <w:rPr>
                <w:szCs w:val="24"/>
              </w:rPr>
            </w:pPr>
          </w:p>
        </w:tc>
        <w:tc>
          <w:tcPr>
            <w:tcW w:w="851" w:type="dxa"/>
          </w:tcPr>
          <w:p w:rsidR="002D5D31" w:rsidRPr="00E4425B" w:rsidRDefault="002D5D31" w:rsidP="00285851">
            <w:pPr>
              <w:jc w:val="center"/>
              <w:rPr>
                <w:szCs w:val="24"/>
              </w:rPr>
            </w:pPr>
            <w:r w:rsidRPr="00E4425B">
              <w:rPr>
                <w:szCs w:val="24"/>
              </w:rPr>
              <w:t>1</w:t>
            </w:r>
          </w:p>
        </w:tc>
      </w:tr>
      <w:tr w:rsidR="002D5D31" w:rsidRPr="00E4425B" w:rsidTr="00285851">
        <w:tc>
          <w:tcPr>
            <w:tcW w:w="3708" w:type="dxa"/>
          </w:tcPr>
          <w:p w:rsidR="002D5D31" w:rsidRPr="00E4425B" w:rsidRDefault="002D5D31" w:rsidP="00285851">
            <w:pPr>
              <w:rPr>
                <w:szCs w:val="24"/>
              </w:rPr>
            </w:pPr>
            <w:r w:rsidRPr="00E4425B">
              <w:rPr>
                <w:szCs w:val="24"/>
              </w:rPr>
              <w:t>Group pitch</w:t>
            </w:r>
          </w:p>
        </w:tc>
        <w:tc>
          <w:tcPr>
            <w:tcW w:w="850" w:type="dxa"/>
          </w:tcPr>
          <w:p w:rsidR="002D5D31" w:rsidRPr="00E4425B" w:rsidRDefault="002D5D31" w:rsidP="00285851">
            <w:pPr>
              <w:jc w:val="center"/>
              <w:rPr>
                <w:szCs w:val="24"/>
              </w:rPr>
            </w:pPr>
            <w:r w:rsidRPr="00E4425B">
              <w:rPr>
                <w:szCs w:val="24"/>
              </w:rPr>
              <w:t>2</w:t>
            </w:r>
          </w:p>
        </w:tc>
        <w:tc>
          <w:tcPr>
            <w:tcW w:w="851" w:type="dxa"/>
          </w:tcPr>
          <w:p w:rsidR="002D5D31" w:rsidRPr="00E4425B" w:rsidRDefault="002D5D31" w:rsidP="00285851">
            <w:pPr>
              <w:jc w:val="center"/>
              <w:rPr>
                <w:szCs w:val="24"/>
              </w:rPr>
            </w:pPr>
          </w:p>
        </w:tc>
      </w:tr>
      <w:tr w:rsidR="002D5D31" w:rsidRPr="00E4425B" w:rsidTr="00285851">
        <w:tc>
          <w:tcPr>
            <w:tcW w:w="3708" w:type="dxa"/>
          </w:tcPr>
          <w:p w:rsidR="002D5D31" w:rsidRPr="00E4425B" w:rsidRDefault="002D5D31" w:rsidP="00285851">
            <w:pPr>
              <w:rPr>
                <w:szCs w:val="24"/>
              </w:rPr>
            </w:pPr>
            <w:r w:rsidRPr="00E4425B">
              <w:rPr>
                <w:szCs w:val="24"/>
              </w:rPr>
              <w:t>Feedback</w:t>
            </w:r>
          </w:p>
        </w:tc>
        <w:tc>
          <w:tcPr>
            <w:tcW w:w="850" w:type="dxa"/>
          </w:tcPr>
          <w:p w:rsidR="002D5D31" w:rsidRPr="00E4425B" w:rsidRDefault="002D5D31" w:rsidP="00285851">
            <w:pPr>
              <w:jc w:val="center"/>
              <w:rPr>
                <w:szCs w:val="24"/>
              </w:rPr>
            </w:pPr>
            <w:r w:rsidRPr="00E4425B">
              <w:rPr>
                <w:szCs w:val="24"/>
              </w:rPr>
              <w:t>1</w:t>
            </w:r>
          </w:p>
        </w:tc>
        <w:tc>
          <w:tcPr>
            <w:tcW w:w="851" w:type="dxa"/>
          </w:tcPr>
          <w:p w:rsidR="002D5D31" w:rsidRPr="00E4425B" w:rsidRDefault="002D5D31" w:rsidP="00285851">
            <w:pPr>
              <w:jc w:val="center"/>
              <w:rPr>
                <w:szCs w:val="24"/>
              </w:rPr>
            </w:pPr>
          </w:p>
        </w:tc>
      </w:tr>
      <w:tr w:rsidR="002D5D31" w:rsidRPr="00E4425B" w:rsidTr="00285851">
        <w:tc>
          <w:tcPr>
            <w:tcW w:w="3708" w:type="dxa"/>
          </w:tcPr>
          <w:p w:rsidR="002D5D31" w:rsidRPr="00C43306" w:rsidRDefault="00C43306" w:rsidP="00285851">
            <w:pPr>
              <w:rPr>
                <w:b/>
                <w:szCs w:val="24"/>
              </w:rPr>
            </w:pPr>
            <w:r w:rsidRPr="00C43306">
              <w:rPr>
                <w:b/>
                <w:szCs w:val="24"/>
              </w:rPr>
              <w:t>Total</w:t>
            </w:r>
          </w:p>
        </w:tc>
        <w:tc>
          <w:tcPr>
            <w:tcW w:w="850" w:type="dxa"/>
          </w:tcPr>
          <w:p w:rsidR="002D5D31" w:rsidRPr="00E4425B" w:rsidRDefault="002D5D31" w:rsidP="00285851">
            <w:pPr>
              <w:jc w:val="center"/>
              <w:rPr>
                <w:b/>
                <w:szCs w:val="24"/>
              </w:rPr>
            </w:pPr>
            <w:r w:rsidRPr="00E4425B">
              <w:rPr>
                <w:b/>
                <w:szCs w:val="24"/>
              </w:rPr>
              <w:t>12</w:t>
            </w:r>
          </w:p>
        </w:tc>
        <w:tc>
          <w:tcPr>
            <w:tcW w:w="851" w:type="dxa"/>
          </w:tcPr>
          <w:p w:rsidR="002D5D31" w:rsidRPr="00E4425B" w:rsidRDefault="002D5D31" w:rsidP="00285851">
            <w:pPr>
              <w:jc w:val="center"/>
              <w:rPr>
                <w:b/>
                <w:szCs w:val="24"/>
              </w:rPr>
            </w:pPr>
            <w:r w:rsidRPr="00E4425B">
              <w:rPr>
                <w:b/>
                <w:szCs w:val="24"/>
              </w:rPr>
              <w:t>11</w:t>
            </w:r>
          </w:p>
        </w:tc>
      </w:tr>
    </w:tbl>
    <w:p w:rsidR="00083E96" w:rsidRDefault="00083E96" w:rsidP="00083E96">
      <w:pPr>
        <w:pStyle w:val="Heading2"/>
      </w:pPr>
      <w:bookmarkStart w:id="6" w:name="_Toc423601993"/>
      <w:r w:rsidRPr="00083E96">
        <w:t>Observations</w:t>
      </w:r>
      <w:bookmarkEnd w:id="6"/>
    </w:p>
    <w:p w:rsidR="002D5D31" w:rsidRPr="00C43306" w:rsidRDefault="008D75FB" w:rsidP="008D75FB">
      <w:r>
        <w:t>For Busine</w:t>
      </w:r>
      <w:r w:rsidR="00D1300E">
        <w:t xml:space="preserve">ss </w:t>
      </w:r>
      <w:r w:rsidR="00D1300E" w:rsidRPr="00741AD3">
        <w:t>modules it was found that fo</w:t>
      </w:r>
      <w:r w:rsidRPr="00741AD3">
        <w:t>r two modules</w:t>
      </w:r>
      <w:r w:rsidR="00D1300E" w:rsidRPr="00741AD3">
        <w:t>,</w:t>
      </w:r>
      <w:r w:rsidRPr="00741AD3">
        <w:t xml:space="preserve"> team work was assessed but not taught or located in the learning outcomes.  This was considered to be a significant finding as</w:t>
      </w:r>
      <w:r w:rsidR="0007083C" w:rsidRPr="00741AD3">
        <w:t xml:space="preserve"> </w:t>
      </w:r>
      <w:r w:rsidR="00780F49" w:rsidRPr="00741AD3">
        <w:t>this meant either the module leader thought the student</w:t>
      </w:r>
      <w:r w:rsidR="00FC432F">
        <w:t>s</w:t>
      </w:r>
      <w:r w:rsidR="00780F49" w:rsidRPr="00741AD3">
        <w:t xml:space="preserve"> had studied this topic in a previous module or it was a simple </w:t>
      </w:r>
      <w:r w:rsidR="00741AD3">
        <w:t>oversight</w:t>
      </w:r>
      <w:r w:rsidR="00780F49" w:rsidRPr="00741AD3">
        <w:t xml:space="preserve">. </w:t>
      </w:r>
      <w:r w:rsidR="0007083C" w:rsidRPr="00741AD3">
        <w:t xml:space="preserve"> </w:t>
      </w:r>
      <w:r w:rsidRPr="00741AD3">
        <w:t>One module</w:t>
      </w:r>
      <w:r>
        <w:t xml:space="preserve"> show</w:t>
      </w:r>
      <w:r w:rsidR="00D1300E">
        <w:t>ed</w:t>
      </w:r>
      <w:r>
        <w:t xml:space="preserve"> evidence of te</w:t>
      </w:r>
      <w:r w:rsidR="00D1300E">
        <w:t xml:space="preserve">aching and practice sessions </w:t>
      </w:r>
      <w:r w:rsidR="003302EE">
        <w:t>but</w:t>
      </w:r>
      <w:r>
        <w:t xml:space="preserve"> was </w:t>
      </w:r>
      <w:r w:rsidR="003302EE">
        <w:t xml:space="preserve">not </w:t>
      </w:r>
      <w:r>
        <w:t>assessed.  This was discussed by the team and considered to be acceptable under the umbrella of a broad interest in the subject.</w:t>
      </w:r>
      <w:r w:rsidR="003302EE">
        <w:t xml:space="preserve">  </w:t>
      </w:r>
      <w:r w:rsidR="002D5D31" w:rsidRPr="008D75FB">
        <w:t xml:space="preserve">Three modules </w:t>
      </w:r>
      <w:r>
        <w:t xml:space="preserve">were </w:t>
      </w:r>
      <w:r w:rsidR="002D5D31" w:rsidRPr="008D75FB">
        <w:t xml:space="preserve">identified as </w:t>
      </w:r>
      <w:r>
        <w:t xml:space="preserve">providing </w:t>
      </w:r>
      <w:r w:rsidR="002D5D31" w:rsidRPr="008D75FB">
        <w:t>good practice with regard to teaching, practi</w:t>
      </w:r>
      <w:r w:rsidR="00FC432F">
        <w:t>c</w:t>
      </w:r>
      <w:r w:rsidR="002D5D31" w:rsidRPr="008D75FB">
        <w:t>e</w:t>
      </w:r>
      <w:r>
        <w:t xml:space="preserve"> and assessment of team working.  All were at Level 4 and therefore offered foundation skills for future practice.</w:t>
      </w:r>
      <w:r w:rsidR="002D5D31" w:rsidRPr="008D75FB">
        <w:t xml:space="preserve">  </w:t>
      </w:r>
      <w:r w:rsidRPr="00C43306">
        <w:t>Two modules were mandatory and so these early foundations were explicit.</w:t>
      </w:r>
    </w:p>
    <w:p w:rsidR="008D75FB" w:rsidRDefault="008D75FB" w:rsidP="008D75FB">
      <w:pPr>
        <w:rPr>
          <w:i/>
        </w:rPr>
      </w:pPr>
    </w:p>
    <w:p w:rsidR="008D75FB" w:rsidRPr="008D75FB" w:rsidRDefault="008D75FB" w:rsidP="008D75FB">
      <w:r w:rsidRPr="008D75FB">
        <w:t>For Computing modules</w:t>
      </w:r>
      <w:r w:rsidR="001F396A">
        <w:t>,</w:t>
      </w:r>
      <w:r w:rsidRPr="008D75FB">
        <w:t xml:space="preserve"> findings showed that there does not always appear to be a corresponding seminar following a team work lecture.  However, this was consid</w:t>
      </w:r>
      <w:r w:rsidR="001F396A">
        <w:t>ered to be acceptable if practi</w:t>
      </w:r>
      <w:r w:rsidR="00FC432F">
        <w:t>c</w:t>
      </w:r>
      <w:r w:rsidRPr="008D75FB">
        <w:t>ed elsewhere.</w:t>
      </w:r>
      <w:r w:rsidR="0007083C">
        <w:t xml:space="preserve">  In one module</w:t>
      </w:r>
      <w:r w:rsidR="001F396A">
        <w:t>,</w:t>
      </w:r>
      <w:r w:rsidR="0007083C">
        <w:t xml:space="preserve"> the percentage of team work</w:t>
      </w:r>
      <w:r w:rsidR="00C43306">
        <w:t xml:space="preserve"> mark</w:t>
      </w:r>
      <w:r w:rsidR="0007083C">
        <w:t xml:space="preserve"> v</w:t>
      </w:r>
      <w:r w:rsidR="001F396A">
        <w:t>s</w:t>
      </w:r>
      <w:r w:rsidR="0007083C">
        <w:t xml:space="preserve"> individual mark was not made clear from the documentation.  However, in another module this percentage was made very clear and suggested </w:t>
      </w:r>
      <w:r w:rsidR="001F396A">
        <w:t xml:space="preserve">better </w:t>
      </w:r>
      <w:r w:rsidR="0007083C">
        <w:t>transparency.</w:t>
      </w:r>
    </w:p>
    <w:p w:rsidR="00083E96" w:rsidRDefault="00083E96" w:rsidP="00083E96">
      <w:pPr>
        <w:pStyle w:val="Heading2"/>
      </w:pPr>
      <w:bookmarkStart w:id="7" w:name="_Toc423601994"/>
      <w:r w:rsidRPr="00083E96">
        <w:lastRenderedPageBreak/>
        <w:t>The Students’ View</w:t>
      </w:r>
      <w:bookmarkEnd w:id="7"/>
    </w:p>
    <w:p w:rsidR="0007083C" w:rsidRDefault="0007083C" w:rsidP="0007083C">
      <w:r w:rsidRPr="0007083C">
        <w:t xml:space="preserve">At the end of the project the two student partners reflected upon their experience and concluded that they had developed many skills which could be taken forward to future </w:t>
      </w:r>
      <w:r w:rsidR="001F396A">
        <w:t xml:space="preserve">their university </w:t>
      </w:r>
      <w:r w:rsidRPr="0007083C">
        <w:t>work</w:t>
      </w:r>
      <w:r w:rsidR="001F396A">
        <w:t xml:space="preserve"> and beyond</w:t>
      </w:r>
      <w:r w:rsidRPr="0007083C">
        <w:t>.</w:t>
      </w:r>
    </w:p>
    <w:p w:rsidR="00E4425B" w:rsidRPr="0007083C" w:rsidRDefault="00E4425B" w:rsidP="0007083C"/>
    <w:p w:rsidR="002D5D31" w:rsidRPr="0007083C" w:rsidRDefault="002D5D31" w:rsidP="0007083C">
      <w:pPr>
        <w:pStyle w:val="ListParagraph"/>
        <w:numPr>
          <w:ilvl w:val="0"/>
          <w:numId w:val="7"/>
        </w:numPr>
      </w:pPr>
      <w:r w:rsidRPr="006217F6">
        <w:rPr>
          <w:i/>
        </w:rPr>
        <w:t>Team Work</w:t>
      </w:r>
      <w:r w:rsidR="0007083C" w:rsidRPr="006217F6">
        <w:rPr>
          <w:i/>
        </w:rPr>
        <w:t>:</w:t>
      </w:r>
      <w:r w:rsidR="0007083C">
        <w:t xml:space="preserve"> working with new people of differing ages and</w:t>
      </w:r>
      <w:r w:rsidRPr="0007083C">
        <w:t xml:space="preserve"> experiences.</w:t>
      </w:r>
    </w:p>
    <w:p w:rsidR="006217F6" w:rsidRDefault="002D5D31" w:rsidP="0007083C">
      <w:pPr>
        <w:pStyle w:val="ListParagraph"/>
        <w:numPr>
          <w:ilvl w:val="0"/>
          <w:numId w:val="7"/>
        </w:numPr>
      </w:pPr>
      <w:r w:rsidRPr="006217F6">
        <w:rPr>
          <w:i/>
        </w:rPr>
        <w:t>Communication</w:t>
      </w:r>
      <w:r w:rsidR="006217F6" w:rsidRPr="006217F6">
        <w:rPr>
          <w:i/>
        </w:rPr>
        <w:t>:</w:t>
      </w:r>
      <w:r w:rsidR="006217F6">
        <w:t xml:space="preserve"> particularly</w:t>
      </w:r>
      <w:r w:rsidRPr="0007083C">
        <w:t xml:space="preserve"> emailing to keep in contact and share information</w:t>
      </w:r>
      <w:r w:rsidR="006217F6">
        <w:t xml:space="preserve"> between the regular meetings</w:t>
      </w:r>
      <w:r w:rsidRPr="0007083C">
        <w:t>.</w:t>
      </w:r>
    </w:p>
    <w:p w:rsidR="002D5D31" w:rsidRPr="0007083C" w:rsidRDefault="002D5D31" w:rsidP="0007083C">
      <w:pPr>
        <w:pStyle w:val="ListParagraph"/>
        <w:numPr>
          <w:ilvl w:val="0"/>
          <w:numId w:val="7"/>
        </w:numPr>
      </w:pPr>
      <w:r w:rsidRPr="006217F6">
        <w:rPr>
          <w:i/>
        </w:rPr>
        <w:t>Report writing</w:t>
      </w:r>
      <w:r w:rsidR="006217F6" w:rsidRPr="006217F6">
        <w:rPr>
          <w:i/>
        </w:rPr>
        <w:t>:</w:t>
      </w:r>
      <w:r w:rsidR="006217F6">
        <w:t xml:space="preserve"> in general and the new experience of writing for publication.</w:t>
      </w:r>
    </w:p>
    <w:p w:rsidR="002D5D31" w:rsidRPr="0007083C" w:rsidRDefault="002D5D31" w:rsidP="0007083C">
      <w:pPr>
        <w:pStyle w:val="ListParagraph"/>
        <w:numPr>
          <w:ilvl w:val="0"/>
          <w:numId w:val="7"/>
        </w:numPr>
      </w:pPr>
      <w:r w:rsidRPr="006217F6">
        <w:rPr>
          <w:i/>
        </w:rPr>
        <w:t>Research Skills</w:t>
      </w:r>
      <w:r w:rsidR="006217F6">
        <w:t>: a new skill of a</w:t>
      </w:r>
      <w:r w:rsidRPr="0007083C">
        <w:t>uditing of documentation.</w:t>
      </w:r>
    </w:p>
    <w:p w:rsidR="002D5D31" w:rsidRPr="0007083C" w:rsidRDefault="002D5D31" w:rsidP="0007083C">
      <w:pPr>
        <w:pStyle w:val="ListParagraph"/>
        <w:numPr>
          <w:ilvl w:val="0"/>
          <w:numId w:val="7"/>
        </w:numPr>
      </w:pPr>
      <w:r w:rsidRPr="006217F6">
        <w:rPr>
          <w:i/>
        </w:rPr>
        <w:t>Confidentiality</w:t>
      </w:r>
      <w:r w:rsidR="006217F6" w:rsidRPr="006217F6">
        <w:rPr>
          <w:i/>
        </w:rPr>
        <w:t>:</w:t>
      </w:r>
      <w:r w:rsidR="006217F6">
        <w:t xml:space="preserve"> learning </w:t>
      </w:r>
      <w:r w:rsidR="00AD6CCB">
        <w:t>about the</w:t>
      </w:r>
      <w:r w:rsidR="006217F6">
        <w:t xml:space="preserve"> University e</w:t>
      </w:r>
      <w:r w:rsidRPr="0007083C">
        <w:t xml:space="preserve">thics process, project approval document, confidentiality agreement and ethical approval. </w:t>
      </w:r>
    </w:p>
    <w:p w:rsidR="002D5D31" w:rsidRPr="0007083C" w:rsidRDefault="002D5D31" w:rsidP="0007083C">
      <w:pPr>
        <w:pStyle w:val="ListParagraph"/>
        <w:numPr>
          <w:ilvl w:val="0"/>
          <w:numId w:val="7"/>
        </w:numPr>
      </w:pPr>
      <w:r w:rsidRPr="006217F6">
        <w:rPr>
          <w:i/>
        </w:rPr>
        <w:t>Attention to detail</w:t>
      </w:r>
      <w:r w:rsidR="006217F6" w:rsidRPr="006217F6">
        <w:rPr>
          <w:i/>
        </w:rPr>
        <w:t>:</w:t>
      </w:r>
      <w:r w:rsidRPr="0007083C">
        <w:t xml:space="preserve"> </w:t>
      </w:r>
      <w:r w:rsidR="006217F6">
        <w:t xml:space="preserve">deciding together what should be audited and </w:t>
      </w:r>
      <w:r w:rsidRPr="0007083C">
        <w:t xml:space="preserve">ensuring </w:t>
      </w:r>
      <w:r w:rsidR="006217F6">
        <w:t>that</w:t>
      </w:r>
      <w:r w:rsidRPr="0007083C">
        <w:t xml:space="preserve"> the right information</w:t>
      </w:r>
      <w:r w:rsidR="006217F6">
        <w:t xml:space="preserve"> was scrutinised.</w:t>
      </w:r>
    </w:p>
    <w:p w:rsidR="002D5D31" w:rsidRPr="0007083C" w:rsidRDefault="002D5D31" w:rsidP="0007083C">
      <w:pPr>
        <w:pStyle w:val="ListParagraph"/>
        <w:numPr>
          <w:ilvl w:val="0"/>
          <w:numId w:val="7"/>
        </w:numPr>
      </w:pPr>
      <w:r w:rsidRPr="006217F6">
        <w:rPr>
          <w:i/>
        </w:rPr>
        <w:t>Presentation skills</w:t>
      </w:r>
      <w:r w:rsidR="006217F6">
        <w:t>: f</w:t>
      </w:r>
      <w:r w:rsidRPr="0007083C">
        <w:t>irst time presenting at a conference.</w:t>
      </w:r>
    </w:p>
    <w:p w:rsidR="002D5D31" w:rsidRPr="0007083C" w:rsidRDefault="002D5D31" w:rsidP="0007083C">
      <w:pPr>
        <w:pStyle w:val="ListParagraph"/>
        <w:numPr>
          <w:ilvl w:val="0"/>
          <w:numId w:val="7"/>
        </w:numPr>
      </w:pPr>
      <w:r w:rsidRPr="006217F6">
        <w:rPr>
          <w:i/>
        </w:rPr>
        <w:t>Time management</w:t>
      </w:r>
      <w:r w:rsidR="006217F6" w:rsidRPr="006217F6">
        <w:rPr>
          <w:i/>
        </w:rPr>
        <w:t>:</w:t>
      </w:r>
      <w:r w:rsidR="006217F6">
        <w:t xml:space="preserve"> m</w:t>
      </w:r>
      <w:r w:rsidRPr="0007083C">
        <w:t>aking time for meetings and looking into the documents around univer</w:t>
      </w:r>
      <w:r w:rsidR="006217F6">
        <w:t>sity work, lectures and marking commitments.</w:t>
      </w:r>
    </w:p>
    <w:p w:rsidR="002D5D31" w:rsidRPr="0007083C" w:rsidRDefault="002D5D31" w:rsidP="0007083C">
      <w:pPr>
        <w:pStyle w:val="ListParagraph"/>
        <w:numPr>
          <w:ilvl w:val="0"/>
          <w:numId w:val="7"/>
        </w:numPr>
      </w:pPr>
      <w:r w:rsidRPr="006217F6">
        <w:rPr>
          <w:i/>
        </w:rPr>
        <w:t>Reflective Practice</w:t>
      </w:r>
      <w:r w:rsidR="006217F6" w:rsidRPr="006217F6">
        <w:rPr>
          <w:i/>
        </w:rPr>
        <w:t>:</w:t>
      </w:r>
      <w:r w:rsidR="006217F6">
        <w:rPr>
          <w:i/>
        </w:rPr>
        <w:t xml:space="preserve"> </w:t>
      </w:r>
      <w:r w:rsidRPr="0007083C">
        <w:t>learn</w:t>
      </w:r>
      <w:r w:rsidR="006217F6">
        <w:t>ing by do</w:t>
      </w:r>
      <w:r w:rsidR="001F396A">
        <w:t>i</w:t>
      </w:r>
      <w:r w:rsidR="006217F6">
        <w:t>ng and agreeing</w:t>
      </w:r>
      <w:r w:rsidRPr="0007083C">
        <w:t xml:space="preserve"> targets for future practice.</w:t>
      </w:r>
    </w:p>
    <w:p w:rsidR="006217F6" w:rsidRDefault="002D5D31" w:rsidP="0007083C">
      <w:pPr>
        <w:pStyle w:val="ListParagraph"/>
        <w:numPr>
          <w:ilvl w:val="0"/>
          <w:numId w:val="7"/>
        </w:numPr>
      </w:pPr>
      <w:r w:rsidRPr="006217F6">
        <w:rPr>
          <w:i/>
        </w:rPr>
        <w:t>Decision making</w:t>
      </w:r>
      <w:r w:rsidR="006217F6">
        <w:t>: task allocation and deciding</w:t>
      </w:r>
      <w:r w:rsidRPr="0007083C">
        <w:t xml:space="preserve"> what </w:t>
      </w:r>
      <w:r w:rsidR="006217F6">
        <w:t>to</w:t>
      </w:r>
      <w:r w:rsidRPr="0007083C">
        <w:t xml:space="preserve"> pu</w:t>
      </w:r>
      <w:r w:rsidR="001F396A">
        <w:t>t into the final audit document</w:t>
      </w:r>
      <w:r w:rsidR="006217F6">
        <w:t>.</w:t>
      </w:r>
    </w:p>
    <w:p w:rsidR="002D5D31" w:rsidRDefault="002D5D31" w:rsidP="0007083C">
      <w:pPr>
        <w:pStyle w:val="ListParagraph"/>
        <w:numPr>
          <w:ilvl w:val="0"/>
          <w:numId w:val="7"/>
        </w:numPr>
      </w:pPr>
      <w:r w:rsidRPr="006217F6">
        <w:rPr>
          <w:i/>
        </w:rPr>
        <w:t>Leadership</w:t>
      </w:r>
      <w:r w:rsidR="006217F6" w:rsidRPr="006217F6">
        <w:rPr>
          <w:i/>
        </w:rPr>
        <w:t>:</w:t>
      </w:r>
      <w:r w:rsidR="006217F6">
        <w:t xml:space="preserve"> </w:t>
      </w:r>
      <w:r w:rsidRPr="0007083C">
        <w:t>autonomy</w:t>
      </w:r>
      <w:r w:rsidR="00746524">
        <w:t xml:space="preserve"> to get on with the job in hand and being trusted.</w:t>
      </w:r>
    </w:p>
    <w:p w:rsidR="00746524" w:rsidRPr="0007083C" w:rsidRDefault="00746524" w:rsidP="00746524"/>
    <w:p w:rsidR="002D5D31" w:rsidRDefault="00746524" w:rsidP="00746524">
      <w:r w:rsidRPr="00746524">
        <w:t>The skills identified as being enhanced during the proje</w:t>
      </w:r>
      <w:r w:rsidR="001F396A">
        <w:t>ct were also those aligned with</w:t>
      </w:r>
      <w:r w:rsidRPr="00746524">
        <w:t xml:space="preserve"> </w:t>
      </w:r>
      <w:r w:rsidR="002D5D31" w:rsidRPr="00746524">
        <w:t>exp</w:t>
      </w:r>
      <w:r w:rsidR="002D5D31" w:rsidRPr="0007083C">
        <w:t>ectations of students involved in team working from their modules.</w:t>
      </w:r>
    </w:p>
    <w:p w:rsidR="00746524" w:rsidRDefault="00746524" w:rsidP="00746524"/>
    <w:p w:rsidR="00746524" w:rsidRDefault="00746524" w:rsidP="00746524">
      <w:pPr>
        <w:rPr>
          <w:sz w:val="28"/>
        </w:rPr>
      </w:pPr>
      <w:r>
        <w:t xml:space="preserve">In addition the students felt that their SAP journey had added to their CV, they anticipated that their employment prospects would be enhanced and they felt the project would be an interesting topic for discussion at interview.  </w:t>
      </w:r>
    </w:p>
    <w:p w:rsidR="00E4425B" w:rsidRDefault="00E4425B" w:rsidP="00083E96">
      <w:pPr>
        <w:pStyle w:val="Heading2"/>
      </w:pPr>
      <w:bookmarkStart w:id="8" w:name="_Toc423601995"/>
    </w:p>
    <w:p w:rsidR="00083E96" w:rsidRDefault="00083E96" w:rsidP="00083E96">
      <w:pPr>
        <w:pStyle w:val="Heading2"/>
      </w:pPr>
      <w:r w:rsidRPr="00083E96">
        <w:t>The Tutors’ View</w:t>
      </w:r>
      <w:bookmarkEnd w:id="8"/>
    </w:p>
    <w:p w:rsidR="00780F49" w:rsidRPr="00780F49" w:rsidRDefault="00746524" w:rsidP="006E1ACA">
      <w:pPr>
        <w:rPr>
          <w:color w:val="FF0000"/>
        </w:rPr>
      </w:pPr>
      <w:r>
        <w:t>The project tutors also reflected upon the experience of working with two Level 5 students.  They had jointly worked with two</w:t>
      </w:r>
      <w:r w:rsidR="00C43306">
        <w:t xml:space="preserve"> other </w:t>
      </w:r>
      <w:r>
        <w:t>students on a previous project and</w:t>
      </w:r>
      <w:r w:rsidR="000B376C">
        <w:t xml:space="preserve"> welcomed the opportunity to do so again.  All the appli</w:t>
      </w:r>
      <w:r w:rsidR="00AE47D4">
        <w:t>cants were Business students;</w:t>
      </w:r>
      <w:r w:rsidR="000B376C">
        <w:t xml:space="preserve"> it was surprising that no Computing </w:t>
      </w:r>
      <w:r w:rsidR="000B376C" w:rsidRPr="00741AD3">
        <w:t>students wished to take up the invitation</w:t>
      </w:r>
      <w:r w:rsidR="002F7BD0" w:rsidRPr="00741AD3">
        <w:t xml:space="preserve"> as all WBS undergraduates have team projects to undertake</w:t>
      </w:r>
      <w:r w:rsidR="000B376C" w:rsidRPr="00741AD3">
        <w:t xml:space="preserve">.  The chosen students were conscientious in their practice and participated fully in discussions and decision making.  </w:t>
      </w:r>
      <w:r w:rsidR="00780F49" w:rsidRPr="00741AD3">
        <w:t xml:space="preserve">It was refreshing to have fresh impetus from </w:t>
      </w:r>
      <w:r w:rsidR="002F7BD0" w:rsidRPr="00741AD3">
        <w:t>differing</w:t>
      </w:r>
      <w:r w:rsidR="00780F49" w:rsidRPr="00741AD3">
        <w:t xml:space="preserve"> perspective</w:t>
      </w:r>
      <w:r w:rsidR="002F7BD0" w:rsidRPr="00741AD3">
        <w:t>s</w:t>
      </w:r>
      <w:r w:rsidR="00780F49" w:rsidRPr="00741AD3">
        <w:t>.</w:t>
      </w:r>
    </w:p>
    <w:p w:rsidR="00780F49" w:rsidRPr="00780F49" w:rsidRDefault="00780F49" w:rsidP="006E1ACA">
      <w:pPr>
        <w:rPr>
          <w:color w:val="FF0000"/>
        </w:rPr>
      </w:pPr>
    </w:p>
    <w:p w:rsidR="00780F49" w:rsidRDefault="00C43306" w:rsidP="006E1ACA">
      <w:r>
        <w:t>T</w:t>
      </w:r>
      <w:r w:rsidR="00780F49" w:rsidRPr="002F7BD0">
        <w:t xml:space="preserve">utors are always keen to enhance the experience for the students and the process of completing this project and the results prompted some reflection as to </w:t>
      </w:r>
      <w:r w:rsidR="00155BB3" w:rsidRPr="002F7BD0">
        <w:t xml:space="preserve">how we could improve the offering to students. The results, even though there is further research required, </w:t>
      </w:r>
      <w:r w:rsidR="002F7BD0" w:rsidRPr="002F7BD0">
        <w:t>are</w:t>
      </w:r>
      <w:r w:rsidR="00155BB3" w:rsidRPr="002F7BD0">
        <w:t xml:space="preserve"> going to be very useful in enhancing the programme.  </w:t>
      </w:r>
    </w:p>
    <w:p w:rsidR="00C43306" w:rsidRPr="002F7BD0" w:rsidRDefault="00C43306" w:rsidP="006E1ACA"/>
    <w:p w:rsidR="00816E75" w:rsidRDefault="00816E75" w:rsidP="00083E96">
      <w:pPr>
        <w:pStyle w:val="Heading2"/>
      </w:pPr>
      <w:bookmarkStart w:id="9" w:name="_Toc423601996"/>
    </w:p>
    <w:p w:rsidR="00083E96" w:rsidRDefault="00083E96" w:rsidP="00083E96">
      <w:pPr>
        <w:pStyle w:val="Heading2"/>
      </w:pPr>
      <w:r w:rsidRPr="00083E96">
        <w:t>Recommendations</w:t>
      </w:r>
      <w:bookmarkEnd w:id="9"/>
    </w:p>
    <w:p w:rsidR="002D5D31" w:rsidRPr="002F7BD0" w:rsidRDefault="002D5D31" w:rsidP="002F7BD0">
      <w:pPr>
        <w:pStyle w:val="ListParagraph"/>
        <w:numPr>
          <w:ilvl w:val="0"/>
          <w:numId w:val="8"/>
        </w:numPr>
        <w:rPr>
          <w:i/>
          <w:szCs w:val="24"/>
        </w:rPr>
      </w:pPr>
      <w:r w:rsidRPr="002F7BD0">
        <w:rPr>
          <w:szCs w:val="24"/>
        </w:rPr>
        <w:t>Find out why 65% of modules do not contain any element of team working</w:t>
      </w:r>
      <w:r w:rsidR="002F7BD0">
        <w:rPr>
          <w:szCs w:val="24"/>
        </w:rPr>
        <w:t>.  This could possibly be incorporated in a future project.</w:t>
      </w:r>
    </w:p>
    <w:p w:rsidR="002D5D31" w:rsidRPr="002F7BD0" w:rsidRDefault="002D5D31" w:rsidP="002F7BD0">
      <w:pPr>
        <w:pStyle w:val="ListParagraph"/>
        <w:numPr>
          <w:ilvl w:val="0"/>
          <w:numId w:val="8"/>
        </w:numPr>
        <w:rPr>
          <w:i/>
          <w:szCs w:val="24"/>
        </w:rPr>
      </w:pPr>
      <w:r w:rsidRPr="002F7BD0">
        <w:rPr>
          <w:szCs w:val="24"/>
        </w:rPr>
        <w:t>Learn from good practice modules</w:t>
      </w:r>
      <w:r w:rsidR="002F7BD0">
        <w:rPr>
          <w:szCs w:val="24"/>
        </w:rPr>
        <w:t>.  Level 4 modules in particular demonstrated good practice with regarding to their team work element.</w:t>
      </w:r>
    </w:p>
    <w:p w:rsidR="002D5D31" w:rsidRPr="002F7BD0" w:rsidRDefault="002F7BD0" w:rsidP="002F7BD0">
      <w:pPr>
        <w:pStyle w:val="ListParagraph"/>
        <w:numPr>
          <w:ilvl w:val="0"/>
          <w:numId w:val="8"/>
        </w:numPr>
        <w:rPr>
          <w:i/>
          <w:szCs w:val="24"/>
        </w:rPr>
      </w:pPr>
      <w:r>
        <w:rPr>
          <w:szCs w:val="24"/>
        </w:rPr>
        <w:t xml:space="preserve">Dissemination and discussion with module teams.  This would enhance the findings by adding a further </w:t>
      </w:r>
      <w:r w:rsidR="00C04E7D">
        <w:rPr>
          <w:szCs w:val="24"/>
        </w:rPr>
        <w:t>dimension</w:t>
      </w:r>
      <w:r>
        <w:rPr>
          <w:szCs w:val="24"/>
        </w:rPr>
        <w:t>.</w:t>
      </w:r>
    </w:p>
    <w:p w:rsidR="002D5D31" w:rsidRPr="002F7BD0" w:rsidRDefault="002D5D31" w:rsidP="002F7BD0">
      <w:pPr>
        <w:pStyle w:val="ListParagraph"/>
        <w:numPr>
          <w:ilvl w:val="0"/>
          <w:numId w:val="8"/>
        </w:numPr>
        <w:rPr>
          <w:i/>
          <w:szCs w:val="24"/>
        </w:rPr>
      </w:pPr>
      <w:r w:rsidRPr="002F7BD0">
        <w:rPr>
          <w:szCs w:val="24"/>
        </w:rPr>
        <w:t>Research informed practice</w:t>
      </w:r>
      <w:r w:rsidR="00C04E7D">
        <w:rPr>
          <w:szCs w:val="24"/>
        </w:rPr>
        <w:t>.  A number of local employers engage in WBS activities.  It would therefore enhance the findings to ascertain their opinion of team working, and in particular what they expect from new employees.</w:t>
      </w:r>
    </w:p>
    <w:p w:rsidR="00C04E7D" w:rsidRPr="00C04E7D" w:rsidRDefault="00C04E7D" w:rsidP="002F7BD0">
      <w:pPr>
        <w:pStyle w:val="ListParagraph"/>
        <w:numPr>
          <w:ilvl w:val="0"/>
          <w:numId w:val="8"/>
        </w:numPr>
        <w:rPr>
          <w:szCs w:val="24"/>
        </w:rPr>
      </w:pPr>
      <w:r w:rsidRPr="00C04E7D">
        <w:rPr>
          <w:szCs w:val="24"/>
        </w:rPr>
        <w:t>An audit of current team working practice could be considered for other courses to help inform future practice.</w:t>
      </w:r>
    </w:p>
    <w:p w:rsidR="00155BB3" w:rsidRPr="00C04E7D" w:rsidRDefault="00C04E7D" w:rsidP="002F7BD0">
      <w:pPr>
        <w:pStyle w:val="ListParagraph"/>
        <w:numPr>
          <w:ilvl w:val="0"/>
          <w:numId w:val="8"/>
        </w:numPr>
        <w:rPr>
          <w:szCs w:val="24"/>
        </w:rPr>
      </w:pPr>
      <w:r w:rsidRPr="00C04E7D">
        <w:rPr>
          <w:szCs w:val="24"/>
        </w:rPr>
        <w:t>An audit of current practice with regard to other employability skills could al</w:t>
      </w:r>
      <w:r w:rsidR="00816E75">
        <w:rPr>
          <w:szCs w:val="24"/>
        </w:rPr>
        <w:t>so</w:t>
      </w:r>
      <w:r w:rsidRPr="00C04E7D">
        <w:rPr>
          <w:szCs w:val="24"/>
        </w:rPr>
        <w:t xml:space="preserve"> help inform future practice.</w:t>
      </w:r>
      <w:r w:rsidR="00155BB3" w:rsidRPr="00C04E7D">
        <w:rPr>
          <w:szCs w:val="24"/>
        </w:rPr>
        <w:t xml:space="preserve"> </w:t>
      </w:r>
    </w:p>
    <w:p w:rsidR="002D5D31" w:rsidRPr="002F7BD0" w:rsidRDefault="002D5D31" w:rsidP="00816E75">
      <w:pPr>
        <w:pStyle w:val="ListParagraph"/>
        <w:rPr>
          <w:color w:val="FF0000"/>
          <w:szCs w:val="24"/>
        </w:rPr>
      </w:pPr>
    </w:p>
    <w:p w:rsidR="002D5D31" w:rsidRDefault="002D5D31" w:rsidP="002D5D31"/>
    <w:p w:rsidR="00083E96" w:rsidRDefault="00083E96" w:rsidP="00741AD3">
      <w:pPr>
        <w:pStyle w:val="Heading2"/>
      </w:pPr>
      <w:bookmarkStart w:id="10" w:name="_Toc423601997"/>
      <w:r w:rsidRPr="00083E96">
        <w:t>References</w:t>
      </w:r>
      <w:bookmarkEnd w:id="10"/>
    </w:p>
    <w:p w:rsidR="006E1ACA" w:rsidRPr="001F74F1" w:rsidRDefault="006E1ACA" w:rsidP="006E1ACA">
      <w:pPr>
        <w:tabs>
          <w:tab w:val="num" w:pos="459"/>
        </w:tabs>
        <w:rPr>
          <w:szCs w:val="24"/>
        </w:rPr>
      </w:pPr>
      <w:r w:rsidRPr="001F74F1">
        <w:rPr>
          <w:szCs w:val="24"/>
        </w:rPr>
        <w:t xml:space="preserve">Fatmi M, Hartling L, Hillier T, Campbell S and Oswald A (2013) </w:t>
      </w:r>
      <w:r w:rsidRPr="001F74F1">
        <w:rPr>
          <w:i/>
          <w:iCs/>
          <w:szCs w:val="24"/>
        </w:rPr>
        <w:t xml:space="preserve">The effectiveness of team-based learning on learning outcomes in health professions education </w:t>
      </w:r>
      <w:r w:rsidRPr="001F74F1">
        <w:rPr>
          <w:szCs w:val="24"/>
        </w:rPr>
        <w:t>BEME Guide No. 30 35: 1608-1624</w:t>
      </w:r>
    </w:p>
    <w:p w:rsidR="006E1ACA" w:rsidRPr="001F74F1" w:rsidRDefault="006E1ACA" w:rsidP="006E1ACA">
      <w:pPr>
        <w:tabs>
          <w:tab w:val="num" w:pos="459"/>
        </w:tabs>
        <w:rPr>
          <w:szCs w:val="24"/>
        </w:rPr>
      </w:pPr>
      <w:r w:rsidRPr="001F74F1">
        <w:rPr>
          <w:szCs w:val="24"/>
        </w:rPr>
        <w:t xml:space="preserve">Kalfa S and Taksa L (2015) </w:t>
      </w:r>
      <w:r w:rsidRPr="001F74F1">
        <w:rPr>
          <w:i/>
          <w:iCs/>
          <w:szCs w:val="24"/>
        </w:rPr>
        <w:t>Cultural capital in business higher education: reconsidering the graduate attributes movement and the focus on employability</w:t>
      </w:r>
      <w:r w:rsidRPr="001F74F1">
        <w:rPr>
          <w:szCs w:val="24"/>
        </w:rPr>
        <w:t>, Studies in Higher Education, 40: 4: 580-595, May 2015</w:t>
      </w:r>
    </w:p>
    <w:p w:rsidR="006E1ACA" w:rsidRPr="001F74F1" w:rsidRDefault="006E1ACA" w:rsidP="006E1ACA">
      <w:pPr>
        <w:tabs>
          <w:tab w:val="num" w:pos="459"/>
        </w:tabs>
        <w:rPr>
          <w:szCs w:val="24"/>
        </w:rPr>
      </w:pPr>
      <w:r w:rsidRPr="001F74F1">
        <w:rPr>
          <w:szCs w:val="24"/>
        </w:rPr>
        <w:t xml:space="preserve">Whatley J (2012) Evaluation of a Team Project Based Learning Module for Developing Employability Skills in </w:t>
      </w:r>
      <w:r w:rsidRPr="001F74F1">
        <w:rPr>
          <w:i/>
          <w:iCs/>
          <w:szCs w:val="24"/>
        </w:rPr>
        <w:t xml:space="preserve">Issues in Informing Science and Information Technology </w:t>
      </w:r>
      <w:r w:rsidRPr="001F74F1">
        <w:rPr>
          <w:szCs w:val="24"/>
        </w:rPr>
        <w:t>Vol 9 (2012) [online] Google Books</w:t>
      </w:r>
    </w:p>
    <w:p w:rsidR="006E1ACA" w:rsidRPr="001F74F1" w:rsidRDefault="006E1ACA" w:rsidP="006E1ACA">
      <w:pPr>
        <w:tabs>
          <w:tab w:val="num" w:pos="459"/>
        </w:tabs>
        <w:rPr>
          <w:szCs w:val="24"/>
        </w:rPr>
      </w:pPr>
      <w:r w:rsidRPr="001F74F1">
        <w:rPr>
          <w:szCs w:val="24"/>
        </w:rPr>
        <w:t>Yorke M (2006) '</w:t>
      </w:r>
      <w:r w:rsidRPr="001F74F1">
        <w:rPr>
          <w:i/>
          <w:iCs/>
          <w:szCs w:val="24"/>
        </w:rPr>
        <w:t>Employability in Higher Education: what it is - what it is not</w:t>
      </w:r>
      <w:r w:rsidRPr="001F74F1">
        <w:rPr>
          <w:szCs w:val="24"/>
        </w:rPr>
        <w:t>', Higher Education Academy (Enhancing Student Employability Co-ordination Team)</w:t>
      </w:r>
    </w:p>
    <w:p w:rsidR="006E1ACA" w:rsidRPr="001F74F1" w:rsidRDefault="006E1ACA" w:rsidP="00AC3FD2">
      <w:pPr>
        <w:rPr>
          <w:szCs w:val="24"/>
        </w:rPr>
      </w:pPr>
    </w:p>
    <w:p w:rsidR="00AC3FD2" w:rsidRPr="001F74F1" w:rsidRDefault="00AC3FD2" w:rsidP="00AC3FD2">
      <w:pPr>
        <w:rPr>
          <w:szCs w:val="24"/>
        </w:rPr>
      </w:pPr>
      <w:r w:rsidRPr="001F74F1">
        <w:rPr>
          <w:szCs w:val="24"/>
        </w:rPr>
        <w:t>The following were accessed on 2/6/15 to ascertain approaches to team working and employability skill:</w:t>
      </w:r>
    </w:p>
    <w:p w:rsidR="006E1ACA" w:rsidRPr="001F74F1" w:rsidRDefault="005B52DC" w:rsidP="00AC3FD2">
      <w:pPr>
        <w:ind w:left="720"/>
        <w:rPr>
          <w:szCs w:val="24"/>
        </w:rPr>
      </w:pPr>
      <w:hyperlink r:id="rId9" w:history="1">
        <w:r w:rsidR="006E1ACA" w:rsidRPr="001F74F1">
          <w:rPr>
            <w:rStyle w:val="Hyperlink"/>
            <w:szCs w:val="24"/>
          </w:rPr>
          <w:t>http://www.careers.salford.ac.uk/page/teamwork</w:t>
        </w:r>
      </w:hyperlink>
    </w:p>
    <w:p w:rsidR="006E1ACA" w:rsidRPr="001F74F1" w:rsidRDefault="005B52DC" w:rsidP="00AC3FD2">
      <w:pPr>
        <w:ind w:left="720"/>
        <w:rPr>
          <w:szCs w:val="24"/>
        </w:rPr>
      </w:pPr>
      <w:hyperlink r:id="rId10" w:history="1">
        <w:r w:rsidR="006E1ACA" w:rsidRPr="001F74F1">
          <w:rPr>
            <w:rStyle w:val="Hyperlink"/>
            <w:szCs w:val="24"/>
          </w:rPr>
          <w:t>http://www.ntu.ac.uk/employability/</w:t>
        </w:r>
      </w:hyperlink>
    </w:p>
    <w:p w:rsidR="006E1ACA" w:rsidRPr="001F74F1" w:rsidRDefault="005B52DC" w:rsidP="00AC3FD2">
      <w:pPr>
        <w:ind w:left="720"/>
        <w:rPr>
          <w:szCs w:val="24"/>
        </w:rPr>
      </w:pPr>
      <w:hyperlink r:id="rId11" w:history="1">
        <w:r w:rsidR="006E1ACA" w:rsidRPr="001F74F1">
          <w:rPr>
            <w:rStyle w:val="Hyperlink"/>
            <w:szCs w:val="24"/>
          </w:rPr>
          <w:t>http://www.kent.ac.uk/careers/sk/teamwork.htm</w:t>
        </w:r>
      </w:hyperlink>
    </w:p>
    <w:p w:rsidR="006E1ACA" w:rsidRPr="001F74F1" w:rsidRDefault="005B52DC" w:rsidP="00AC3FD2">
      <w:pPr>
        <w:ind w:left="720"/>
        <w:rPr>
          <w:szCs w:val="24"/>
        </w:rPr>
      </w:pPr>
      <w:hyperlink r:id="rId12" w:history="1">
        <w:r w:rsidR="006E1ACA" w:rsidRPr="001F74F1">
          <w:rPr>
            <w:rStyle w:val="Hyperlink"/>
            <w:szCs w:val="24"/>
          </w:rPr>
          <w:t>http://www.worc.ac.uk/edu/1118.htm</w:t>
        </w:r>
      </w:hyperlink>
    </w:p>
    <w:p w:rsidR="006E1ACA" w:rsidRPr="001F74F1" w:rsidRDefault="005B52DC" w:rsidP="00AC3FD2">
      <w:pPr>
        <w:ind w:left="720"/>
        <w:rPr>
          <w:szCs w:val="24"/>
        </w:rPr>
      </w:pPr>
      <w:hyperlink r:id="rId13" w:history="1">
        <w:r w:rsidR="006E1ACA" w:rsidRPr="001F74F1">
          <w:rPr>
            <w:rStyle w:val="Hyperlink"/>
            <w:szCs w:val="24"/>
          </w:rPr>
          <w:t>http://usemyability.com/skills/teamwork.html</w:t>
        </w:r>
      </w:hyperlink>
    </w:p>
    <w:p w:rsidR="009B03C3" w:rsidRPr="001F74F1" w:rsidRDefault="009B03C3">
      <w:pPr>
        <w:rPr>
          <w:szCs w:val="24"/>
        </w:rPr>
      </w:pPr>
    </w:p>
    <w:p w:rsidR="002D5D31" w:rsidRPr="001F74F1" w:rsidRDefault="002D5D31">
      <w:pPr>
        <w:rPr>
          <w:szCs w:val="24"/>
        </w:rPr>
      </w:pPr>
      <w:r w:rsidRPr="001F74F1">
        <w:rPr>
          <w:szCs w:val="24"/>
        </w:rPr>
        <w:br w:type="page"/>
      </w:r>
    </w:p>
    <w:p w:rsidR="009B03C3" w:rsidRDefault="00F21018" w:rsidP="00F21018">
      <w:pPr>
        <w:pStyle w:val="Heading2"/>
      </w:pPr>
      <w:bookmarkStart w:id="11" w:name="_Toc423601998"/>
      <w:r>
        <w:lastRenderedPageBreak/>
        <w:t>Conference presentation</w:t>
      </w:r>
      <w:bookmarkEnd w:id="11"/>
    </w:p>
    <w:p w:rsidR="002D5D31" w:rsidRDefault="002D5D31">
      <w:r>
        <w:rPr>
          <w:noProof/>
          <w:lang w:eastAsia="en-GB"/>
        </w:rPr>
        <w:drawing>
          <wp:inline distT="0" distB="0" distL="0" distR="0">
            <wp:extent cx="6156119" cy="837210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l="23737" t="14737" r="25709" b="5263"/>
                    <a:stretch>
                      <a:fillRect/>
                    </a:stretch>
                  </pic:blipFill>
                  <pic:spPr bwMode="auto">
                    <a:xfrm>
                      <a:off x="0" y="0"/>
                      <a:ext cx="6154358" cy="8369709"/>
                    </a:xfrm>
                    <a:prstGeom prst="rect">
                      <a:avLst/>
                    </a:prstGeom>
                    <a:noFill/>
                    <a:ln w="9525">
                      <a:noFill/>
                      <a:miter lim="800000"/>
                      <a:headEnd/>
                      <a:tailEnd/>
                    </a:ln>
                  </pic:spPr>
                </pic:pic>
              </a:graphicData>
            </a:graphic>
          </wp:inline>
        </w:drawing>
      </w:r>
    </w:p>
    <w:p w:rsidR="002D5D31" w:rsidRDefault="002D5D31">
      <w:r>
        <w:rPr>
          <w:noProof/>
          <w:lang w:eastAsia="en-GB"/>
        </w:rPr>
        <w:lastRenderedPageBreak/>
        <w:drawing>
          <wp:inline distT="0" distB="0" distL="0" distR="0">
            <wp:extent cx="6020803" cy="6545179"/>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l="22462" t="15632" r="25473" b="7398"/>
                    <a:stretch>
                      <a:fillRect/>
                    </a:stretch>
                  </pic:blipFill>
                  <pic:spPr bwMode="auto">
                    <a:xfrm>
                      <a:off x="0" y="0"/>
                      <a:ext cx="6020803" cy="6545179"/>
                    </a:xfrm>
                    <a:prstGeom prst="rect">
                      <a:avLst/>
                    </a:prstGeom>
                    <a:noFill/>
                    <a:ln w="9525">
                      <a:noFill/>
                      <a:miter lim="800000"/>
                      <a:headEnd/>
                      <a:tailEnd/>
                    </a:ln>
                  </pic:spPr>
                </pic:pic>
              </a:graphicData>
            </a:graphic>
          </wp:inline>
        </w:drawing>
      </w:r>
    </w:p>
    <w:p w:rsidR="002D5D31" w:rsidRDefault="002D5D31">
      <w:r>
        <w:rPr>
          <w:noProof/>
          <w:lang w:eastAsia="en-GB"/>
        </w:rPr>
        <w:drawing>
          <wp:inline distT="0" distB="0" distL="0" distR="0">
            <wp:extent cx="6286334" cy="2154804"/>
            <wp:effectExtent l="19050" t="0" r="166"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l="22974" t="15790" r="23199" b="59474"/>
                    <a:stretch>
                      <a:fillRect/>
                    </a:stretch>
                  </pic:blipFill>
                  <pic:spPr bwMode="auto">
                    <a:xfrm>
                      <a:off x="0" y="0"/>
                      <a:ext cx="6286334" cy="2154804"/>
                    </a:xfrm>
                    <a:prstGeom prst="rect">
                      <a:avLst/>
                    </a:prstGeom>
                    <a:noFill/>
                    <a:ln w="9525">
                      <a:noFill/>
                      <a:miter lim="800000"/>
                      <a:headEnd/>
                      <a:tailEnd/>
                    </a:ln>
                  </pic:spPr>
                </pic:pic>
              </a:graphicData>
            </a:graphic>
          </wp:inline>
        </w:drawing>
      </w:r>
    </w:p>
    <w:sectPr w:rsidR="002D5D31" w:rsidSect="00D6732D">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2DC" w:rsidRDefault="005B52DC" w:rsidP="00C95551">
      <w:r>
        <w:separator/>
      </w:r>
    </w:p>
  </w:endnote>
  <w:endnote w:type="continuationSeparator" w:id="0">
    <w:p w:rsidR="005B52DC" w:rsidRDefault="005B52DC" w:rsidP="00C9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dvP8114">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466"/>
      <w:docPartObj>
        <w:docPartGallery w:val="Page Numbers (Bottom of Page)"/>
        <w:docPartUnique/>
      </w:docPartObj>
    </w:sdtPr>
    <w:sdtEndPr/>
    <w:sdtContent>
      <w:p w:rsidR="00C95551" w:rsidRDefault="006B66EB">
        <w:pPr>
          <w:pStyle w:val="Footer"/>
          <w:jc w:val="right"/>
        </w:pPr>
        <w:r>
          <w:fldChar w:fldCharType="begin"/>
        </w:r>
        <w:r w:rsidR="00AB517C">
          <w:instrText xml:space="preserve"> PAGE   \* MERGEFORMAT </w:instrText>
        </w:r>
        <w:r>
          <w:fldChar w:fldCharType="separate"/>
        </w:r>
        <w:r w:rsidR="008C58DD">
          <w:rPr>
            <w:noProof/>
          </w:rPr>
          <w:t>1</w:t>
        </w:r>
        <w:r>
          <w:rPr>
            <w:noProof/>
          </w:rPr>
          <w:fldChar w:fldCharType="end"/>
        </w:r>
      </w:p>
    </w:sdtContent>
  </w:sdt>
  <w:p w:rsidR="00C95551" w:rsidRDefault="00C95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2DC" w:rsidRDefault="005B52DC" w:rsidP="00C95551">
      <w:r>
        <w:separator/>
      </w:r>
    </w:p>
  </w:footnote>
  <w:footnote w:type="continuationSeparator" w:id="0">
    <w:p w:rsidR="005B52DC" w:rsidRDefault="005B52DC" w:rsidP="00C955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C130C"/>
    <w:multiLevelType w:val="hybridMultilevel"/>
    <w:tmpl w:val="F2AAF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9447BF4"/>
    <w:multiLevelType w:val="hybridMultilevel"/>
    <w:tmpl w:val="35E2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17369E"/>
    <w:multiLevelType w:val="hybridMultilevel"/>
    <w:tmpl w:val="19FC5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065F6B"/>
    <w:multiLevelType w:val="hybridMultilevel"/>
    <w:tmpl w:val="D180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A810E5"/>
    <w:multiLevelType w:val="hybridMultilevel"/>
    <w:tmpl w:val="9160B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3A2B9C"/>
    <w:multiLevelType w:val="hybridMultilevel"/>
    <w:tmpl w:val="55425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D3092A"/>
    <w:multiLevelType w:val="hybridMultilevel"/>
    <w:tmpl w:val="9528BDE4"/>
    <w:lvl w:ilvl="0" w:tplc="50E4960E">
      <w:start w:val="1"/>
      <w:numFmt w:val="bullet"/>
      <w:lvlText w:val="•"/>
      <w:lvlJc w:val="left"/>
      <w:pPr>
        <w:tabs>
          <w:tab w:val="num" w:pos="720"/>
        </w:tabs>
        <w:ind w:left="720" w:hanging="360"/>
      </w:pPr>
      <w:rPr>
        <w:rFonts w:ascii="Arial" w:hAnsi="Arial" w:hint="default"/>
      </w:rPr>
    </w:lvl>
    <w:lvl w:ilvl="1" w:tplc="4508A8F6" w:tentative="1">
      <w:start w:val="1"/>
      <w:numFmt w:val="bullet"/>
      <w:lvlText w:val="•"/>
      <w:lvlJc w:val="left"/>
      <w:pPr>
        <w:tabs>
          <w:tab w:val="num" w:pos="1440"/>
        </w:tabs>
        <w:ind w:left="1440" w:hanging="360"/>
      </w:pPr>
      <w:rPr>
        <w:rFonts w:ascii="Arial" w:hAnsi="Arial" w:hint="default"/>
      </w:rPr>
    </w:lvl>
    <w:lvl w:ilvl="2" w:tplc="917CCC9E" w:tentative="1">
      <w:start w:val="1"/>
      <w:numFmt w:val="bullet"/>
      <w:lvlText w:val="•"/>
      <w:lvlJc w:val="left"/>
      <w:pPr>
        <w:tabs>
          <w:tab w:val="num" w:pos="2160"/>
        </w:tabs>
        <w:ind w:left="2160" w:hanging="360"/>
      </w:pPr>
      <w:rPr>
        <w:rFonts w:ascii="Arial" w:hAnsi="Arial" w:hint="default"/>
      </w:rPr>
    </w:lvl>
    <w:lvl w:ilvl="3" w:tplc="6554C93C" w:tentative="1">
      <w:start w:val="1"/>
      <w:numFmt w:val="bullet"/>
      <w:lvlText w:val="•"/>
      <w:lvlJc w:val="left"/>
      <w:pPr>
        <w:tabs>
          <w:tab w:val="num" w:pos="2880"/>
        </w:tabs>
        <w:ind w:left="2880" w:hanging="360"/>
      </w:pPr>
      <w:rPr>
        <w:rFonts w:ascii="Arial" w:hAnsi="Arial" w:hint="default"/>
      </w:rPr>
    </w:lvl>
    <w:lvl w:ilvl="4" w:tplc="AEF2F6DE" w:tentative="1">
      <w:start w:val="1"/>
      <w:numFmt w:val="bullet"/>
      <w:lvlText w:val="•"/>
      <w:lvlJc w:val="left"/>
      <w:pPr>
        <w:tabs>
          <w:tab w:val="num" w:pos="3600"/>
        </w:tabs>
        <w:ind w:left="3600" w:hanging="360"/>
      </w:pPr>
      <w:rPr>
        <w:rFonts w:ascii="Arial" w:hAnsi="Arial" w:hint="default"/>
      </w:rPr>
    </w:lvl>
    <w:lvl w:ilvl="5" w:tplc="3716CEBA" w:tentative="1">
      <w:start w:val="1"/>
      <w:numFmt w:val="bullet"/>
      <w:lvlText w:val="•"/>
      <w:lvlJc w:val="left"/>
      <w:pPr>
        <w:tabs>
          <w:tab w:val="num" w:pos="4320"/>
        </w:tabs>
        <w:ind w:left="4320" w:hanging="360"/>
      </w:pPr>
      <w:rPr>
        <w:rFonts w:ascii="Arial" w:hAnsi="Arial" w:hint="default"/>
      </w:rPr>
    </w:lvl>
    <w:lvl w:ilvl="6" w:tplc="429CDC1C" w:tentative="1">
      <w:start w:val="1"/>
      <w:numFmt w:val="bullet"/>
      <w:lvlText w:val="•"/>
      <w:lvlJc w:val="left"/>
      <w:pPr>
        <w:tabs>
          <w:tab w:val="num" w:pos="5040"/>
        </w:tabs>
        <w:ind w:left="5040" w:hanging="360"/>
      </w:pPr>
      <w:rPr>
        <w:rFonts w:ascii="Arial" w:hAnsi="Arial" w:hint="default"/>
      </w:rPr>
    </w:lvl>
    <w:lvl w:ilvl="7" w:tplc="9AA2CF64" w:tentative="1">
      <w:start w:val="1"/>
      <w:numFmt w:val="bullet"/>
      <w:lvlText w:val="•"/>
      <w:lvlJc w:val="left"/>
      <w:pPr>
        <w:tabs>
          <w:tab w:val="num" w:pos="5760"/>
        </w:tabs>
        <w:ind w:left="5760" w:hanging="360"/>
      </w:pPr>
      <w:rPr>
        <w:rFonts w:ascii="Arial" w:hAnsi="Arial" w:hint="default"/>
      </w:rPr>
    </w:lvl>
    <w:lvl w:ilvl="8" w:tplc="EC0656C6" w:tentative="1">
      <w:start w:val="1"/>
      <w:numFmt w:val="bullet"/>
      <w:lvlText w:val="•"/>
      <w:lvlJc w:val="left"/>
      <w:pPr>
        <w:tabs>
          <w:tab w:val="num" w:pos="6480"/>
        </w:tabs>
        <w:ind w:left="6480" w:hanging="360"/>
      </w:pPr>
      <w:rPr>
        <w:rFonts w:ascii="Arial" w:hAnsi="Arial" w:hint="default"/>
      </w:rPr>
    </w:lvl>
  </w:abstractNum>
  <w:abstractNum w:abstractNumId="7">
    <w:nsid w:val="76FC69C3"/>
    <w:multiLevelType w:val="hybridMultilevel"/>
    <w:tmpl w:val="1674CDCE"/>
    <w:lvl w:ilvl="0" w:tplc="38C2B8EA">
      <w:start w:val="1"/>
      <w:numFmt w:val="bullet"/>
      <w:lvlText w:val="•"/>
      <w:lvlJc w:val="left"/>
      <w:pPr>
        <w:tabs>
          <w:tab w:val="num" w:pos="720"/>
        </w:tabs>
        <w:ind w:left="720" w:hanging="360"/>
      </w:pPr>
      <w:rPr>
        <w:rFonts w:ascii="Arial" w:hAnsi="Arial" w:hint="default"/>
      </w:rPr>
    </w:lvl>
    <w:lvl w:ilvl="1" w:tplc="687008FC" w:tentative="1">
      <w:start w:val="1"/>
      <w:numFmt w:val="bullet"/>
      <w:lvlText w:val="•"/>
      <w:lvlJc w:val="left"/>
      <w:pPr>
        <w:tabs>
          <w:tab w:val="num" w:pos="1440"/>
        </w:tabs>
        <w:ind w:left="1440" w:hanging="360"/>
      </w:pPr>
      <w:rPr>
        <w:rFonts w:ascii="Arial" w:hAnsi="Arial" w:hint="default"/>
      </w:rPr>
    </w:lvl>
    <w:lvl w:ilvl="2" w:tplc="02C47FFA" w:tentative="1">
      <w:start w:val="1"/>
      <w:numFmt w:val="bullet"/>
      <w:lvlText w:val="•"/>
      <w:lvlJc w:val="left"/>
      <w:pPr>
        <w:tabs>
          <w:tab w:val="num" w:pos="2160"/>
        </w:tabs>
        <w:ind w:left="2160" w:hanging="360"/>
      </w:pPr>
      <w:rPr>
        <w:rFonts w:ascii="Arial" w:hAnsi="Arial" w:hint="default"/>
      </w:rPr>
    </w:lvl>
    <w:lvl w:ilvl="3" w:tplc="31A4B0AA" w:tentative="1">
      <w:start w:val="1"/>
      <w:numFmt w:val="bullet"/>
      <w:lvlText w:val="•"/>
      <w:lvlJc w:val="left"/>
      <w:pPr>
        <w:tabs>
          <w:tab w:val="num" w:pos="2880"/>
        </w:tabs>
        <w:ind w:left="2880" w:hanging="360"/>
      </w:pPr>
      <w:rPr>
        <w:rFonts w:ascii="Arial" w:hAnsi="Arial" w:hint="default"/>
      </w:rPr>
    </w:lvl>
    <w:lvl w:ilvl="4" w:tplc="0568A9C6" w:tentative="1">
      <w:start w:val="1"/>
      <w:numFmt w:val="bullet"/>
      <w:lvlText w:val="•"/>
      <w:lvlJc w:val="left"/>
      <w:pPr>
        <w:tabs>
          <w:tab w:val="num" w:pos="3600"/>
        </w:tabs>
        <w:ind w:left="3600" w:hanging="360"/>
      </w:pPr>
      <w:rPr>
        <w:rFonts w:ascii="Arial" w:hAnsi="Arial" w:hint="default"/>
      </w:rPr>
    </w:lvl>
    <w:lvl w:ilvl="5" w:tplc="90BACA60" w:tentative="1">
      <w:start w:val="1"/>
      <w:numFmt w:val="bullet"/>
      <w:lvlText w:val="•"/>
      <w:lvlJc w:val="left"/>
      <w:pPr>
        <w:tabs>
          <w:tab w:val="num" w:pos="4320"/>
        </w:tabs>
        <w:ind w:left="4320" w:hanging="360"/>
      </w:pPr>
      <w:rPr>
        <w:rFonts w:ascii="Arial" w:hAnsi="Arial" w:hint="default"/>
      </w:rPr>
    </w:lvl>
    <w:lvl w:ilvl="6" w:tplc="4794503C" w:tentative="1">
      <w:start w:val="1"/>
      <w:numFmt w:val="bullet"/>
      <w:lvlText w:val="•"/>
      <w:lvlJc w:val="left"/>
      <w:pPr>
        <w:tabs>
          <w:tab w:val="num" w:pos="5040"/>
        </w:tabs>
        <w:ind w:left="5040" w:hanging="360"/>
      </w:pPr>
      <w:rPr>
        <w:rFonts w:ascii="Arial" w:hAnsi="Arial" w:hint="default"/>
      </w:rPr>
    </w:lvl>
    <w:lvl w:ilvl="7" w:tplc="A21C99EA" w:tentative="1">
      <w:start w:val="1"/>
      <w:numFmt w:val="bullet"/>
      <w:lvlText w:val="•"/>
      <w:lvlJc w:val="left"/>
      <w:pPr>
        <w:tabs>
          <w:tab w:val="num" w:pos="5760"/>
        </w:tabs>
        <w:ind w:left="5760" w:hanging="360"/>
      </w:pPr>
      <w:rPr>
        <w:rFonts w:ascii="Arial" w:hAnsi="Arial" w:hint="default"/>
      </w:rPr>
    </w:lvl>
    <w:lvl w:ilvl="8" w:tplc="44BA235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0"/>
  </w:num>
  <w:num w:numId="3">
    <w:abstractNumId w:val="6"/>
  </w:num>
  <w:num w:numId="4">
    <w:abstractNumId w:val="2"/>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C3"/>
    <w:rsid w:val="000544C0"/>
    <w:rsid w:val="0007083C"/>
    <w:rsid w:val="00083E96"/>
    <w:rsid w:val="000B376C"/>
    <w:rsid w:val="000D4201"/>
    <w:rsid w:val="00130B38"/>
    <w:rsid w:val="00130F03"/>
    <w:rsid w:val="0014381B"/>
    <w:rsid w:val="00155BB3"/>
    <w:rsid w:val="001C2D51"/>
    <w:rsid w:val="001D27B1"/>
    <w:rsid w:val="001F396A"/>
    <w:rsid w:val="001F74F1"/>
    <w:rsid w:val="00281234"/>
    <w:rsid w:val="002D5D31"/>
    <w:rsid w:val="002F7BD0"/>
    <w:rsid w:val="003302EE"/>
    <w:rsid w:val="00396973"/>
    <w:rsid w:val="00426D88"/>
    <w:rsid w:val="005051CE"/>
    <w:rsid w:val="00554769"/>
    <w:rsid w:val="005B52DC"/>
    <w:rsid w:val="006217F6"/>
    <w:rsid w:val="006825BD"/>
    <w:rsid w:val="006B66EB"/>
    <w:rsid w:val="006E1ACA"/>
    <w:rsid w:val="00741AD3"/>
    <w:rsid w:val="00746524"/>
    <w:rsid w:val="007637A5"/>
    <w:rsid w:val="00780F49"/>
    <w:rsid w:val="008108E4"/>
    <w:rsid w:val="008147F5"/>
    <w:rsid w:val="00816E75"/>
    <w:rsid w:val="00841E3F"/>
    <w:rsid w:val="008A1822"/>
    <w:rsid w:val="008C58DD"/>
    <w:rsid w:val="008D75FB"/>
    <w:rsid w:val="0094759B"/>
    <w:rsid w:val="00957E97"/>
    <w:rsid w:val="00990EB5"/>
    <w:rsid w:val="009B03C3"/>
    <w:rsid w:val="009E6851"/>
    <w:rsid w:val="00A0171A"/>
    <w:rsid w:val="00A65342"/>
    <w:rsid w:val="00AB517C"/>
    <w:rsid w:val="00AC3FD2"/>
    <w:rsid w:val="00AD6CCB"/>
    <w:rsid w:val="00AE47D4"/>
    <w:rsid w:val="00B7166F"/>
    <w:rsid w:val="00B74207"/>
    <w:rsid w:val="00C04E7D"/>
    <w:rsid w:val="00C43306"/>
    <w:rsid w:val="00C95551"/>
    <w:rsid w:val="00CC499D"/>
    <w:rsid w:val="00D1300E"/>
    <w:rsid w:val="00D15DCB"/>
    <w:rsid w:val="00D6732D"/>
    <w:rsid w:val="00DF7234"/>
    <w:rsid w:val="00DF75BD"/>
    <w:rsid w:val="00E07051"/>
    <w:rsid w:val="00E2250E"/>
    <w:rsid w:val="00E4425B"/>
    <w:rsid w:val="00E45C22"/>
    <w:rsid w:val="00E619EB"/>
    <w:rsid w:val="00E848B6"/>
    <w:rsid w:val="00EC4C15"/>
    <w:rsid w:val="00F21018"/>
    <w:rsid w:val="00F43600"/>
    <w:rsid w:val="00F82DFE"/>
    <w:rsid w:val="00FB2EC2"/>
    <w:rsid w:val="00FC4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524"/>
    <w:pPr>
      <w:spacing w:after="0" w:line="240" w:lineRule="auto"/>
    </w:pPr>
    <w:rPr>
      <w:sz w:val="24"/>
    </w:rPr>
  </w:style>
  <w:style w:type="paragraph" w:styleId="Heading1">
    <w:name w:val="heading 1"/>
    <w:basedOn w:val="Normal"/>
    <w:next w:val="Normal"/>
    <w:link w:val="Heading1Char"/>
    <w:uiPriority w:val="9"/>
    <w:qFormat/>
    <w:rsid w:val="00083E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3E96"/>
    <w:pPr>
      <w:keepNext/>
      <w:keepLines/>
      <w:spacing w:before="200"/>
      <w:outlineLvl w:val="1"/>
    </w:pPr>
    <w:rPr>
      <w:rFonts w:eastAsiaTheme="majorEastAsia" w:cstheme="majorBidi"/>
      <w:b/>
      <w:bCs/>
      <w:color w:val="1F497D" w:themeColor="text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2DFE"/>
  </w:style>
  <w:style w:type="character" w:styleId="Emphasis">
    <w:name w:val="Emphasis"/>
    <w:basedOn w:val="DefaultParagraphFont"/>
    <w:uiPriority w:val="20"/>
    <w:qFormat/>
    <w:rsid w:val="00F82DFE"/>
    <w:rPr>
      <w:i/>
      <w:iCs/>
    </w:rPr>
  </w:style>
  <w:style w:type="character" w:customStyle="1" w:styleId="Heading2Char">
    <w:name w:val="Heading 2 Char"/>
    <w:basedOn w:val="DefaultParagraphFont"/>
    <w:link w:val="Heading2"/>
    <w:uiPriority w:val="9"/>
    <w:rsid w:val="00083E96"/>
    <w:rPr>
      <w:rFonts w:eastAsiaTheme="majorEastAsia" w:cstheme="majorBidi"/>
      <w:b/>
      <w:bCs/>
      <w:color w:val="1F497D" w:themeColor="text2"/>
      <w:sz w:val="28"/>
      <w:szCs w:val="26"/>
    </w:rPr>
  </w:style>
  <w:style w:type="character" w:customStyle="1" w:styleId="Heading1Char">
    <w:name w:val="Heading 1 Char"/>
    <w:basedOn w:val="DefaultParagraphFont"/>
    <w:link w:val="Heading1"/>
    <w:uiPriority w:val="9"/>
    <w:rsid w:val="00083E9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3E96"/>
    <w:pPr>
      <w:outlineLvl w:val="9"/>
    </w:pPr>
    <w:rPr>
      <w:lang w:val="en-US"/>
    </w:rPr>
  </w:style>
  <w:style w:type="paragraph" w:styleId="TOC2">
    <w:name w:val="toc 2"/>
    <w:basedOn w:val="Normal"/>
    <w:next w:val="Normal"/>
    <w:autoRedefine/>
    <w:uiPriority w:val="39"/>
    <w:unhideWhenUsed/>
    <w:rsid w:val="00083E96"/>
    <w:pPr>
      <w:spacing w:after="100"/>
      <w:ind w:left="220"/>
    </w:pPr>
  </w:style>
  <w:style w:type="character" w:styleId="Hyperlink">
    <w:name w:val="Hyperlink"/>
    <w:basedOn w:val="DefaultParagraphFont"/>
    <w:uiPriority w:val="99"/>
    <w:unhideWhenUsed/>
    <w:rsid w:val="00083E96"/>
    <w:rPr>
      <w:color w:val="0000FF" w:themeColor="hyperlink"/>
      <w:u w:val="single"/>
    </w:rPr>
  </w:style>
  <w:style w:type="paragraph" w:styleId="BalloonText">
    <w:name w:val="Balloon Text"/>
    <w:basedOn w:val="Normal"/>
    <w:link w:val="BalloonTextChar"/>
    <w:uiPriority w:val="99"/>
    <w:semiHidden/>
    <w:unhideWhenUsed/>
    <w:rsid w:val="00083E96"/>
    <w:rPr>
      <w:rFonts w:ascii="Tahoma" w:hAnsi="Tahoma" w:cs="Tahoma"/>
      <w:sz w:val="16"/>
      <w:szCs w:val="16"/>
    </w:rPr>
  </w:style>
  <w:style w:type="character" w:customStyle="1" w:styleId="BalloonTextChar">
    <w:name w:val="Balloon Text Char"/>
    <w:basedOn w:val="DefaultParagraphFont"/>
    <w:link w:val="BalloonText"/>
    <w:uiPriority w:val="99"/>
    <w:semiHidden/>
    <w:rsid w:val="00083E96"/>
    <w:rPr>
      <w:rFonts w:ascii="Tahoma" w:hAnsi="Tahoma" w:cs="Tahoma"/>
      <w:sz w:val="16"/>
      <w:szCs w:val="16"/>
    </w:rPr>
  </w:style>
  <w:style w:type="paragraph" w:styleId="NoSpacing">
    <w:name w:val="No Spacing"/>
    <w:uiPriority w:val="1"/>
    <w:qFormat/>
    <w:rsid w:val="00D15DCB"/>
    <w:pPr>
      <w:spacing w:after="0" w:line="240" w:lineRule="auto"/>
    </w:pPr>
    <w:rPr>
      <w:sz w:val="24"/>
      <w:szCs w:val="28"/>
    </w:rPr>
  </w:style>
  <w:style w:type="table" w:styleId="TableGrid">
    <w:name w:val="Table Grid"/>
    <w:basedOn w:val="TableNormal"/>
    <w:uiPriority w:val="59"/>
    <w:rsid w:val="002D5D31"/>
    <w:pPr>
      <w:spacing w:after="0" w:line="240" w:lineRule="auto"/>
    </w:pPr>
    <w:rPr>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D31"/>
    <w:pPr>
      <w:ind w:left="720"/>
      <w:contextualSpacing/>
    </w:pPr>
    <w:rPr>
      <w:szCs w:val="28"/>
    </w:rPr>
  </w:style>
  <w:style w:type="paragraph" w:styleId="Header">
    <w:name w:val="header"/>
    <w:basedOn w:val="Normal"/>
    <w:link w:val="HeaderChar"/>
    <w:uiPriority w:val="99"/>
    <w:semiHidden/>
    <w:unhideWhenUsed/>
    <w:rsid w:val="00C95551"/>
    <w:pPr>
      <w:tabs>
        <w:tab w:val="center" w:pos="4513"/>
        <w:tab w:val="right" w:pos="9026"/>
      </w:tabs>
    </w:pPr>
  </w:style>
  <w:style w:type="character" w:customStyle="1" w:styleId="HeaderChar">
    <w:name w:val="Header Char"/>
    <w:basedOn w:val="DefaultParagraphFont"/>
    <w:link w:val="Header"/>
    <w:uiPriority w:val="99"/>
    <w:semiHidden/>
    <w:rsid w:val="00C95551"/>
    <w:rPr>
      <w:sz w:val="24"/>
    </w:rPr>
  </w:style>
  <w:style w:type="paragraph" w:styleId="Footer">
    <w:name w:val="footer"/>
    <w:basedOn w:val="Normal"/>
    <w:link w:val="FooterChar"/>
    <w:uiPriority w:val="99"/>
    <w:unhideWhenUsed/>
    <w:rsid w:val="00C95551"/>
    <w:pPr>
      <w:tabs>
        <w:tab w:val="center" w:pos="4513"/>
        <w:tab w:val="right" w:pos="9026"/>
      </w:tabs>
    </w:pPr>
  </w:style>
  <w:style w:type="character" w:customStyle="1" w:styleId="FooterChar">
    <w:name w:val="Footer Char"/>
    <w:basedOn w:val="DefaultParagraphFont"/>
    <w:link w:val="Footer"/>
    <w:uiPriority w:val="99"/>
    <w:rsid w:val="00C95551"/>
    <w:rPr>
      <w:sz w:val="24"/>
    </w:rPr>
  </w:style>
  <w:style w:type="paragraph" w:customStyle="1" w:styleId="xmsonormal">
    <w:name w:val="x_msonormal"/>
    <w:basedOn w:val="Normal"/>
    <w:rsid w:val="00155BB3"/>
    <w:pPr>
      <w:spacing w:before="100" w:beforeAutospacing="1" w:after="100" w:afterAutospacing="1"/>
    </w:pPr>
    <w:rPr>
      <w:rFonts w:ascii="Times New Roman" w:eastAsia="Times New Roman" w:hAnsi="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524"/>
    <w:pPr>
      <w:spacing w:after="0" w:line="240" w:lineRule="auto"/>
    </w:pPr>
    <w:rPr>
      <w:sz w:val="24"/>
    </w:rPr>
  </w:style>
  <w:style w:type="paragraph" w:styleId="Heading1">
    <w:name w:val="heading 1"/>
    <w:basedOn w:val="Normal"/>
    <w:next w:val="Normal"/>
    <w:link w:val="Heading1Char"/>
    <w:uiPriority w:val="9"/>
    <w:qFormat/>
    <w:rsid w:val="00083E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3E96"/>
    <w:pPr>
      <w:keepNext/>
      <w:keepLines/>
      <w:spacing w:before="200"/>
      <w:outlineLvl w:val="1"/>
    </w:pPr>
    <w:rPr>
      <w:rFonts w:eastAsiaTheme="majorEastAsia" w:cstheme="majorBidi"/>
      <w:b/>
      <w:bCs/>
      <w:color w:val="1F497D" w:themeColor="text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2DFE"/>
  </w:style>
  <w:style w:type="character" w:styleId="Emphasis">
    <w:name w:val="Emphasis"/>
    <w:basedOn w:val="DefaultParagraphFont"/>
    <w:uiPriority w:val="20"/>
    <w:qFormat/>
    <w:rsid w:val="00F82DFE"/>
    <w:rPr>
      <w:i/>
      <w:iCs/>
    </w:rPr>
  </w:style>
  <w:style w:type="character" w:customStyle="1" w:styleId="Heading2Char">
    <w:name w:val="Heading 2 Char"/>
    <w:basedOn w:val="DefaultParagraphFont"/>
    <w:link w:val="Heading2"/>
    <w:uiPriority w:val="9"/>
    <w:rsid w:val="00083E96"/>
    <w:rPr>
      <w:rFonts w:eastAsiaTheme="majorEastAsia" w:cstheme="majorBidi"/>
      <w:b/>
      <w:bCs/>
      <w:color w:val="1F497D" w:themeColor="text2"/>
      <w:sz w:val="28"/>
      <w:szCs w:val="26"/>
    </w:rPr>
  </w:style>
  <w:style w:type="character" w:customStyle="1" w:styleId="Heading1Char">
    <w:name w:val="Heading 1 Char"/>
    <w:basedOn w:val="DefaultParagraphFont"/>
    <w:link w:val="Heading1"/>
    <w:uiPriority w:val="9"/>
    <w:rsid w:val="00083E9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3E96"/>
    <w:pPr>
      <w:outlineLvl w:val="9"/>
    </w:pPr>
    <w:rPr>
      <w:lang w:val="en-US"/>
    </w:rPr>
  </w:style>
  <w:style w:type="paragraph" w:styleId="TOC2">
    <w:name w:val="toc 2"/>
    <w:basedOn w:val="Normal"/>
    <w:next w:val="Normal"/>
    <w:autoRedefine/>
    <w:uiPriority w:val="39"/>
    <w:unhideWhenUsed/>
    <w:rsid w:val="00083E96"/>
    <w:pPr>
      <w:spacing w:after="100"/>
      <w:ind w:left="220"/>
    </w:pPr>
  </w:style>
  <w:style w:type="character" w:styleId="Hyperlink">
    <w:name w:val="Hyperlink"/>
    <w:basedOn w:val="DefaultParagraphFont"/>
    <w:uiPriority w:val="99"/>
    <w:unhideWhenUsed/>
    <w:rsid w:val="00083E96"/>
    <w:rPr>
      <w:color w:val="0000FF" w:themeColor="hyperlink"/>
      <w:u w:val="single"/>
    </w:rPr>
  </w:style>
  <w:style w:type="paragraph" w:styleId="BalloonText">
    <w:name w:val="Balloon Text"/>
    <w:basedOn w:val="Normal"/>
    <w:link w:val="BalloonTextChar"/>
    <w:uiPriority w:val="99"/>
    <w:semiHidden/>
    <w:unhideWhenUsed/>
    <w:rsid w:val="00083E96"/>
    <w:rPr>
      <w:rFonts w:ascii="Tahoma" w:hAnsi="Tahoma" w:cs="Tahoma"/>
      <w:sz w:val="16"/>
      <w:szCs w:val="16"/>
    </w:rPr>
  </w:style>
  <w:style w:type="character" w:customStyle="1" w:styleId="BalloonTextChar">
    <w:name w:val="Balloon Text Char"/>
    <w:basedOn w:val="DefaultParagraphFont"/>
    <w:link w:val="BalloonText"/>
    <w:uiPriority w:val="99"/>
    <w:semiHidden/>
    <w:rsid w:val="00083E96"/>
    <w:rPr>
      <w:rFonts w:ascii="Tahoma" w:hAnsi="Tahoma" w:cs="Tahoma"/>
      <w:sz w:val="16"/>
      <w:szCs w:val="16"/>
    </w:rPr>
  </w:style>
  <w:style w:type="paragraph" w:styleId="NoSpacing">
    <w:name w:val="No Spacing"/>
    <w:uiPriority w:val="1"/>
    <w:qFormat/>
    <w:rsid w:val="00D15DCB"/>
    <w:pPr>
      <w:spacing w:after="0" w:line="240" w:lineRule="auto"/>
    </w:pPr>
    <w:rPr>
      <w:sz w:val="24"/>
      <w:szCs w:val="28"/>
    </w:rPr>
  </w:style>
  <w:style w:type="table" w:styleId="TableGrid">
    <w:name w:val="Table Grid"/>
    <w:basedOn w:val="TableNormal"/>
    <w:uiPriority w:val="59"/>
    <w:rsid w:val="002D5D31"/>
    <w:pPr>
      <w:spacing w:after="0" w:line="240" w:lineRule="auto"/>
    </w:pPr>
    <w:rPr>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D31"/>
    <w:pPr>
      <w:ind w:left="720"/>
      <w:contextualSpacing/>
    </w:pPr>
    <w:rPr>
      <w:szCs w:val="28"/>
    </w:rPr>
  </w:style>
  <w:style w:type="paragraph" w:styleId="Header">
    <w:name w:val="header"/>
    <w:basedOn w:val="Normal"/>
    <w:link w:val="HeaderChar"/>
    <w:uiPriority w:val="99"/>
    <w:semiHidden/>
    <w:unhideWhenUsed/>
    <w:rsid w:val="00C95551"/>
    <w:pPr>
      <w:tabs>
        <w:tab w:val="center" w:pos="4513"/>
        <w:tab w:val="right" w:pos="9026"/>
      </w:tabs>
    </w:pPr>
  </w:style>
  <w:style w:type="character" w:customStyle="1" w:styleId="HeaderChar">
    <w:name w:val="Header Char"/>
    <w:basedOn w:val="DefaultParagraphFont"/>
    <w:link w:val="Header"/>
    <w:uiPriority w:val="99"/>
    <w:semiHidden/>
    <w:rsid w:val="00C95551"/>
    <w:rPr>
      <w:sz w:val="24"/>
    </w:rPr>
  </w:style>
  <w:style w:type="paragraph" w:styleId="Footer">
    <w:name w:val="footer"/>
    <w:basedOn w:val="Normal"/>
    <w:link w:val="FooterChar"/>
    <w:uiPriority w:val="99"/>
    <w:unhideWhenUsed/>
    <w:rsid w:val="00C95551"/>
    <w:pPr>
      <w:tabs>
        <w:tab w:val="center" w:pos="4513"/>
        <w:tab w:val="right" w:pos="9026"/>
      </w:tabs>
    </w:pPr>
  </w:style>
  <w:style w:type="character" w:customStyle="1" w:styleId="FooterChar">
    <w:name w:val="Footer Char"/>
    <w:basedOn w:val="DefaultParagraphFont"/>
    <w:link w:val="Footer"/>
    <w:uiPriority w:val="99"/>
    <w:rsid w:val="00C95551"/>
    <w:rPr>
      <w:sz w:val="24"/>
    </w:rPr>
  </w:style>
  <w:style w:type="paragraph" w:customStyle="1" w:styleId="xmsonormal">
    <w:name w:val="x_msonormal"/>
    <w:basedOn w:val="Normal"/>
    <w:rsid w:val="00155BB3"/>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8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semyability.com/skills/teamwork.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orc.ac.uk/edu/1118.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nt.ac.uk/careers/sk/teamwork.htm"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ntu.ac.uk/employabilit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areers.salford.ac.uk/page/teamwork"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1872E-2BA2-4E19-BBBF-29A04AE4B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1972</Words>
  <Characters>11246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dc:creator>
  <cp:lastModifiedBy>Sue Barnes</cp:lastModifiedBy>
  <cp:revision>2</cp:revision>
  <cp:lastPrinted>2015-07-08T09:54:00Z</cp:lastPrinted>
  <dcterms:created xsi:type="dcterms:W3CDTF">2015-07-08T10:05:00Z</dcterms:created>
  <dcterms:modified xsi:type="dcterms:W3CDTF">2015-07-08T10:05:00Z</dcterms:modified>
</cp:coreProperties>
</file>