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C3" w:rsidRDefault="00A75BC3" w:rsidP="00A75BC3">
      <w:pPr>
        <w:jc w:val="both"/>
        <w:rPr>
          <w:rFonts w:asciiTheme="minorHAnsi" w:hAnsiTheme="minorHAnsi"/>
        </w:rPr>
      </w:pPr>
    </w:p>
    <w:p w:rsidR="00C0610E" w:rsidRDefault="00C0610E" w:rsidP="00F85EE6">
      <w:pPr>
        <w:spacing w:line="240" w:lineRule="auto"/>
        <w:jc w:val="both"/>
        <w:rPr>
          <w:rFonts w:asciiTheme="minorHAnsi" w:hAnsiTheme="minorHAnsi"/>
          <w:b/>
          <w:i/>
        </w:rPr>
      </w:pPr>
    </w:p>
    <w:p w:rsidR="003F5E04" w:rsidRDefault="003F5E04" w:rsidP="00C0610E">
      <w:pPr>
        <w:spacing w:line="240" w:lineRule="auto"/>
        <w:jc w:val="both"/>
        <w:rPr>
          <w:rFonts w:asciiTheme="minorHAnsi" w:hAnsiTheme="minorHAnsi"/>
          <w:i/>
        </w:rPr>
      </w:pPr>
    </w:p>
    <w:p w:rsidR="00C0610E" w:rsidRPr="00BB18D7" w:rsidRDefault="00C0610E" w:rsidP="00C0610E">
      <w:pPr>
        <w:spacing w:line="240" w:lineRule="auto"/>
        <w:jc w:val="both"/>
        <w:rPr>
          <w:rFonts w:asciiTheme="minorHAnsi" w:hAnsiTheme="minorHAnsi"/>
        </w:rPr>
      </w:pPr>
      <w:r w:rsidRPr="00C0610E">
        <w:rPr>
          <w:rFonts w:asciiTheme="minorHAnsi" w:hAnsiTheme="minorHAnsi"/>
          <w:i/>
        </w:rPr>
        <w:t>‘Unless you have some kind of occupation you don’t really exist’</w:t>
      </w:r>
      <w:r w:rsidRPr="00C0610E">
        <w:rPr>
          <w:rFonts w:asciiTheme="minorHAnsi" w:hAnsiTheme="minorHAnsi"/>
          <w:b/>
          <w:i/>
        </w:rPr>
        <w:t xml:space="preserve">. </w:t>
      </w:r>
      <w:r w:rsidR="00BB18D7">
        <w:rPr>
          <w:rFonts w:asciiTheme="minorHAnsi" w:hAnsiTheme="minorHAnsi"/>
        </w:rPr>
        <w:t xml:space="preserve">Occupational engagement and mental illness: </w:t>
      </w:r>
      <w:r w:rsidRPr="00C0610E">
        <w:rPr>
          <w:rFonts w:asciiTheme="minorHAnsi" w:hAnsiTheme="minorHAnsi"/>
        </w:rPr>
        <w:t xml:space="preserve"> an interpretative phenomenological analysis</w:t>
      </w:r>
    </w:p>
    <w:p w:rsidR="003F5E04" w:rsidRDefault="003F5E04" w:rsidP="00F85EE6">
      <w:pPr>
        <w:spacing w:line="240" w:lineRule="auto"/>
        <w:jc w:val="both"/>
        <w:rPr>
          <w:rFonts w:asciiTheme="minorHAnsi" w:hAnsiTheme="minorHAnsi"/>
          <w:b/>
          <w:i/>
        </w:rPr>
      </w:pPr>
    </w:p>
    <w:p w:rsidR="003F5E04" w:rsidRPr="00F85EE6" w:rsidRDefault="009763D9" w:rsidP="00F85EE6">
      <w:pPr>
        <w:spacing w:line="240" w:lineRule="auto"/>
        <w:jc w:val="both"/>
        <w:rPr>
          <w:rFonts w:asciiTheme="minorHAnsi" w:hAnsiTheme="minorHAnsi"/>
          <w:b/>
        </w:rPr>
      </w:pPr>
      <w:r w:rsidRPr="00F85EE6">
        <w:rPr>
          <w:rFonts w:asciiTheme="minorHAnsi" w:hAnsiTheme="minorHAnsi"/>
          <w:b/>
        </w:rPr>
        <w:t>Abstract</w:t>
      </w:r>
    </w:p>
    <w:p w:rsidR="009763D9" w:rsidRPr="00335E96" w:rsidRDefault="009763D9" w:rsidP="00F85EE6">
      <w:pPr>
        <w:spacing w:line="240" w:lineRule="auto"/>
        <w:jc w:val="both"/>
        <w:rPr>
          <w:rFonts w:asciiTheme="minorHAnsi" w:hAnsiTheme="minorHAnsi"/>
        </w:rPr>
      </w:pPr>
      <w:r w:rsidRPr="00335E96">
        <w:rPr>
          <w:rFonts w:asciiTheme="minorHAnsi" w:hAnsiTheme="minorHAnsi"/>
        </w:rPr>
        <w:t xml:space="preserve">In this Interpretative Phenomenological Analysis (IPA) we </w:t>
      </w:r>
      <w:r w:rsidR="00032873">
        <w:rPr>
          <w:rFonts w:asciiTheme="minorHAnsi" w:hAnsiTheme="minorHAnsi"/>
        </w:rPr>
        <w:t xml:space="preserve">set out to </w:t>
      </w:r>
      <w:r w:rsidRPr="00335E96">
        <w:rPr>
          <w:rFonts w:asciiTheme="minorHAnsi" w:hAnsiTheme="minorHAnsi"/>
        </w:rPr>
        <w:t>explore the meaning</w:t>
      </w:r>
      <w:r w:rsidR="00D671D2" w:rsidRPr="00335E96">
        <w:rPr>
          <w:rFonts w:asciiTheme="minorHAnsi" w:hAnsiTheme="minorHAnsi"/>
        </w:rPr>
        <w:t>s</w:t>
      </w:r>
      <w:r w:rsidR="003F5E04" w:rsidRPr="00335E96">
        <w:rPr>
          <w:rFonts w:asciiTheme="minorHAnsi" w:hAnsiTheme="minorHAnsi"/>
        </w:rPr>
        <w:t xml:space="preserve"> of </w:t>
      </w:r>
      <w:r w:rsidR="00F36ECE">
        <w:rPr>
          <w:rFonts w:asciiTheme="minorHAnsi" w:hAnsiTheme="minorHAnsi"/>
        </w:rPr>
        <w:t>work</w:t>
      </w:r>
      <w:r w:rsidR="003F5E04" w:rsidRPr="00335E96">
        <w:rPr>
          <w:rFonts w:asciiTheme="minorHAnsi" w:hAnsiTheme="minorHAnsi"/>
        </w:rPr>
        <w:t xml:space="preserve"> for </w:t>
      </w:r>
      <w:r w:rsidRPr="00335E96">
        <w:rPr>
          <w:rFonts w:asciiTheme="minorHAnsi" w:hAnsiTheme="minorHAnsi"/>
        </w:rPr>
        <w:t xml:space="preserve">people living with severe and enduring mental health problems. </w:t>
      </w:r>
      <w:r w:rsidR="003F5E04" w:rsidRPr="00335E96">
        <w:rPr>
          <w:rFonts w:asciiTheme="minorHAnsi" w:hAnsiTheme="minorHAnsi"/>
        </w:rPr>
        <w:t xml:space="preserve">The participants were </w:t>
      </w:r>
      <w:r w:rsidR="00335E96" w:rsidRPr="00335E96">
        <w:rPr>
          <w:rFonts w:asciiTheme="minorHAnsi" w:hAnsiTheme="minorHAnsi"/>
        </w:rPr>
        <w:t>three women and seven men</w:t>
      </w:r>
      <w:r w:rsidR="003F5E04" w:rsidRPr="00335E96">
        <w:rPr>
          <w:rFonts w:asciiTheme="minorHAnsi" w:hAnsiTheme="minorHAnsi"/>
        </w:rPr>
        <w:t xml:space="preserve"> who were attending a mental health day centre. Data were collected through up to three depth i</w:t>
      </w:r>
      <w:r w:rsidR="00032873">
        <w:rPr>
          <w:rFonts w:asciiTheme="minorHAnsi" w:hAnsiTheme="minorHAnsi"/>
        </w:rPr>
        <w:t xml:space="preserve">nterviews with each </w:t>
      </w:r>
      <w:r w:rsidR="00335E96" w:rsidRPr="00335E96">
        <w:rPr>
          <w:rFonts w:asciiTheme="minorHAnsi" w:hAnsiTheme="minorHAnsi"/>
        </w:rPr>
        <w:t>participant</w:t>
      </w:r>
      <w:r w:rsidR="00032873">
        <w:rPr>
          <w:rFonts w:asciiTheme="minorHAnsi" w:hAnsiTheme="minorHAnsi"/>
        </w:rPr>
        <w:t xml:space="preserve"> over eighteen months</w:t>
      </w:r>
      <w:r w:rsidR="003F5E04" w:rsidRPr="00335E96">
        <w:rPr>
          <w:rFonts w:asciiTheme="minorHAnsi" w:hAnsiTheme="minorHAnsi"/>
        </w:rPr>
        <w:t xml:space="preserve">. The interviews were digitally recorded and transcribed verbatim. Following transcription data were analysed according to IPA principles. </w:t>
      </w:r>
      <w:r w:rsidRPr="00335E96">
        <w:rPr>
          <w:rFonts w:asciiTheme="minorHAnsi" w:hAnsiTheme="minorHAnsi"/>
        </w:rPr>
        <w:t xml:space="preserve">Two overarching themes were identified. </w:t>
      </w:r>
      <w:r w:rsidRPr="00335E96">
        <w:rPr>
          <w:rFonts w:asciiTheme="minorHAnsi" w:hAnsiTheme="minorHAnsi"/>
          <w:b/>
        </w:rPr>
        <w:t>Building and maintaining an occupational identity</w:t>
      </w:r>
      <w:r w:rsidRPr="00335E96">
        <w:rPr>
          <w:rFonts w:asciiTheme="minorHAnsi" w:hAnsiTheme="minorHAnsi"/>
        </w:rPr>
        <w:t xml:space="preserve"> expressed the ways in which participants used occupations as the building blocks of an evolving identity. Most of the parti</w:t>
      </w:r>
      <w:r w:rsidR="00032873">
        <w:rPr>
          <w:rFonts w:asciiTheme="minorHAnsi" w:hAnsiTheme="minorHAnsi"/>
        </w:rPr>
        <w:t xml:space="preserve">cipants wanted to </w:t>
      </w:r>
      <w:r w:rsidRPr="00335E96">
        <w:rPr>
          <w:rFonts w:asciiTheme="minorHAnsi" w:hAnsiTheme="minorHAnsi"/>
        </w:rPr>
        <w:t xml:space="preserve">work, and </w:t>
      </w:r>
      <w:r w:rsidR="00D671D2" w:rsidRPr="00335E96">
        <w:rPr>
          <w:rFonts w:asciiTheme="minorHAnsi" w:hAnsiTheme="minorHAnsi"/>
        </w:rPr>
        <w:t xml:space="preserve">participation in </w:t>
      </w:r>
      <w:r w:rsidRPr="00335E96">
        <w:rPr>
          <w:rFonts w:asciiTheme="minorHAnsi" w:hAnsiTheme="minorHAnsi"/>
        </w:rPr>
        <w:t>occupation</w:t>
      </w:r>
      <w:r w:rsidR="00D671D2" w:rsidRPr="00335E96">
        <w:rPr>
          <w:rFonts w:asciiTheme="minorHAnsi" w:hAnsiTheme="minorHAnsi"/>
        </w:rPr>
        <w:t>s</w:t>
      </w:r>
      <w:r w:rsidRPr="00335E96">
        <w:rPr>
          <w:rFonts w:asciiTheme="minorHAnsi" w:hAnsiTheme="minorHAnsi"/>
        </w:rPr>
        <w:t xml:space="preserve"> was seen as an essential </w:t>
      </w:r>
      <w:r w:rsidR="00D671D2" w:rsidRPr="00335E96">
        <w:rPr>
          <w:rFonts w:asciiTheme="minorHAnsi" w:hAnsiTheme="minorHAnsi"/>
        </w:rPr>
        <w:t xml:space="preserve">to </w:t>
      </w:r>
      <w:r w:rsidRPr="00335E96">
        <w:rPr>
          <w:rFonts w:asciiTheme="minorHAnsi" w:hAnsiTheme="minorHAnsi"/>
        </w:rPr>
        <w:t xml:space="preserve">recovery from mental ill health. </w:t>
      </w:r>
      <w:r w:rsidRPr="00335E96">
        <w:rPr>
          <w:rFonts w:asciiTheme="minorHAnsi" w:hAnsiTheme="minorHAnsi"/>
          <w:b/>
        </w:rPr>
        <w:t>Work, and other ways of belonging</w:t>
      </w:r>
      <w:r w:rsidRPr="00335E96">
        <w:rPr>
          <w:rFonts w:asciiTheme="minorHAnsi" w:hAnsiTheme="minorHAnsi"/>
        </w:rPr>
        <w:t xml:space="preserve"> encapsulated the need to feel connected to others. Many of the participants envisaged working as a way of achieving this. </w:t>
      </w:r>
      <w:r w:rsidR="003F5E04" w:rsidRPr="00335E96">
        <w:rPr>
          <w:rFonts w:asciiTheme="minorHAnsi" w:hAnsiTheme="minorHAnsi"/>
        </w:rPr>
        <w:t>The longitudinal nature of the study facilitated engagement with the developing narratives and exploration of the changes and consistencies in the partici</w:t>
      </w:r>
      <w:r w:rsidR="00335E96">
        <w:rPr>
          <w:rFonts w:asciiTheme="minorHAnsi" w:hAnsiTheme="minorHAnsi"/>
        </w:rPr>
        <w:t>pants’ meaning making about their occupations</w:t>
      </w:r>
      <w:r w:rsidR="003F5E04" w:rsidRPr="00335E96">
        <w:rPr>
          <w:rFonts w:asciiTheme="minorHAnsi" w:hAnsiTheme="minorHAnsi"/>
        </w:rPr>
        <w:t>.</w:t>
      </w:r>
      <w:r w:rsidR="00335E96" w:rsidRPr="00335E96">
        <w:rPr>
          <w:rFonts w:asciiTheme="minorHAnsi" w:hAnsiTheme="minorHAnsi"/>
        </w:rPr>
        <w:t xml:space="preserve"> </w:t>
      </w:r>
      <w:r w:rsidR="003F5E04" w:rsidRPr="00335E96">
        <w:rPr>
          <w:rFonts w:asciiTheme="minorHAnsi" w:hAnsiTheme="minorHAnsi"/>
        </w:rPr>
        <w:t xml:space="preserve">Implications for understanding individuals’ occupational </w:t>
      </w:r>
      <w:r w:rsidR="00335E96" w:rsidRPr="00335E96">
        <w:rPr>
          <w:rFonts w:asciiTheme="minorHAnsi" w:hAnsiTheme="minorHAnsi"/>
        </w:rPr>
        <w:t xml:space="preserve">participation which </w:t>
      </w:r>
      <w:r w:rsidR="003F5E04" w:rsidRPr="00335E96">
        <w:rPr>
          <w:rFonts w:asciiTheme="minorHAnsi" w:hAnsiTheme="minorHAnsi"/>
        </w:rPr>
        <w:t>enhance</w:t>
      </w:r>
      <w:r w:rsidR="00335E96" w:rsidRPr="00335E96">
        <w:rPr>
          <w:rFonts w:asciiTheme="minorHAnsi" w:hAnsiTheme="minorHAnsi"/>
        </w:rPr>
        <w:t>s</w:t>
      </w:r>
      <w:r w:rsidR="003F5E04" w:rsidRPr="00335E96">
        <w:rPr>
          <w:rFonts w:asciiTheme="minorHAnsi" w:hAnsiTheme="minorHAnsi"/>
        </w:rPr>
        <w:t xml:space="preserve"> a sense of self, and </w:t>
      </w:r>
      <w:r w:rsidR="00335E96" w:rsidRPr="00335E96">
        <w:rPr>
          <w:rFonts w:asciiTheme="minorHAnsi" w:hAnsiTheme="minorHAnsi"/>
        </w:rPr>
        <w:t xml:space="preserve">promotes </w:t>
      </w:r>
      <w:r w:rsidR="003F5E04" w:rsidRPr="00335E96">
        <w:rPr>
          <w:rFonts w:asciiTheme="minorHAnsi" w:hAnsiTheme="minorHAnsi"/>
        </w:rPr>
        <w:t xml:space="preserve">feelings of belonging are identified. </w:t>
      </w:r>
    </w:p>
    <w:p w:rsidR="009763D9" w:rsidRPr="00F85EE6" w:rsidRDefault="009763D9" w:rsidP="00F85EE6">
      <w:pPr>
        <w:tabs>
          <w:tab w:val="left" w:pos="3644"/>
        </w:tabs>
        <w:spacing w:line="240" w:lineRule="auto"/>
        <w:jc w:val="both"/>
        <w:rPr>
          <w:rFonts w:asciiTheme="minorHAnsi" w:hAnsiTheme="minorHAnsi"/>
        </w:rPr>
      </w:pPr>
      <w:r w:rsidRPr="00F85EE6">
        <w:rPr>
          <w:rFonts w:asciiTheme="minorHAnsi" w:hAnsiTheme="minorHAnsi"/>
        </w:rPr>
        <w:tab/>
      </w: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Introduction</w:t>
      </w:r>
      <w:r w:rsidR="0003603C" w:rsidRPr="00F85EE6">
        <w:rPr>
          <w:rFonts w:asciiTheme="minorHAnsi" w:hAnsiTheme="minorHAnsi"/>
          <w:b/>
        </w:rPr>
        <w:t xml:space="preserve"> </w:t>
      </w:r>
    </w:p>
    <w:p w:rsidR="00814416" w:rsidRPr="00F85EE6" w:rsidRDefault="00F34CF0" w:rsidP="00F85EE6">
      <w:pPr>
        <w:spacing w:line="240" w:lineRule="auto"/>
        <w:jc w:val="both"/>
        <w:rPr>
          <w:rFonts w:asciiTheme="minorHAnsi" w:hAnsiTheme="minorHAnsi"/>
        </w:rPr>
      </w:pPr>
      <w:r w:rsidRPr="00F85EE6">
        <w:rPr>
          <w:rFonts w:asciiTheme="minorHAnsi" w:hAnsiTheme="minorHAnsi"/>
        </w:rPr>
        <w:t>The worker role for adults has been seen as central in the western world for decades, influencing initial impressions and judgments about a person’s status, wealth, and class. This phenomenological study brings an occupational perspective to exploring the meanings and experience</w:t>
      </w:r>
      <w:r w:rsidR="00D671D2" w:rsidRPr="00F85EE6">
        <w:rPr>
          <w:rFonts w:asciiTheme="minorHAnsi" w:hAnsiTheme="minorHAnsi"/>
        </w:rPr>
        <w:t>s</w:t>
      </w:r>
      <w:r w:rsidRPr="00F85EE6">
        <w:rPr>
          <w:rFonts w:asciiTheme="minorHAnsi" w:hAnsiTheme="minorHAnsi"/>
        </w:rPr>
        <w:t xml:space="preserve"> of employment for people living with severe and enduring mental health problems. In the context of the study employment is understood as an occupation and as such, has the potential to influence health and well-being (Christiansen &amp; Townsend, 2010; </w:t>
      </w:r>
      <w:proofErr w:type="spellStart"/>
      <w:r w:rsidRPr="00F85EE6">
        <w:rPr>
          <w:rFonts w:asciiTheme="minorHAnsi" w:hAnsiTheme="minorHAnsi"/>
        </w:rPr>
        <w:t>Hasselkus</w:t>
      </w:r>
      <w:proofErr w:type="spellEnd"/>
      <w:r w:rsidRPr="00F85EE6">
        <w:rPr>
          <w:rFonts w:asciiTheme="minorHAnsi" w:hAnsiTheme="minorHAnsi"/>
        </w:rPr>
        <w:t xml:space="preserve">, 2002; Yerxa, 1998). </w:t>
      </w:r>
    </w:p>
    <w:p w:rsidR="00024BCF" w:rsidRPr="00F85EE6" w:rsidRDefault="00024BCF" w:rsidP="00F85EE6">
      <w:pPr>
        <w:spacing w:line="240" w:lineRule="auto"/>
        <w:jc w:val="both"/>
        <w:rPr>
          <w:rFonts w:asciiTheme="minorHAnsi" w:hAnsiTheme="minorHAnsi"/>
        </w:rPr>
      </w:pPr>
      <w:r w:rsidRPr="00F85EE6">
        <w:rPr>
          <w:rFonts w:asciiTheme="minorHAnsi" w:hAnsiTheme="minorHAnsi"/>
        </w:rPr>
        <w:t xml:space="preserve">The right </w:t>
      </w:r>
      <w:r w:rsidR="00032873">
        <w:rPr>
          <w:rFonts w:asciiTheme="minorHAnsi" w:hAnsiTheme="minorHAnsi"/>
        </w:rPr>
        <w:t xml:space="preserve">to work is enshrined in law. </w:t>
      </w:r>
      <w:r w:rsidRPr="00F85EE6">
        <w:rPr>
          <w:rFonts w:asciiTheme="minorHAnsi" w:hAnsiTheme="minorHAnsi"/>
        </w:rPr>
        <w:t>Article 23 of the United Nations Universal Declaration of Human Rig</w:t>
      </w:r>
      <w:r w:rsidR="00032873">
        <w:rPr>
          <w:rFonts w:asciiTheme="minorHAnsi" w:hAnsiTheme="minorHAnsi"/>
        </w:rPr>
        <w:t>hts (United Nations, 1948) states</w:t>
      </w:r>
      <w:r w:rsidRPr="00F85EE6">
        <w:rPr>
          <w:rFonts w:asciiTheme="minorHAnsi" w:hAnsiTheme="minorHAnsi"/>
        </w:rPr>
        <w:t xml:space="preserve"> that everyone has the right to work, to free choice of employment, to just and favorable working conditions and to protection against unemployment. The World Health Orga</w:t>
      </w:r>
      <w:r w:rsidR="0093468B">
        <w:rPr>
          <w:rFonts w:asciiTheme="minorHAnsi" w:hAnsiTheme="minorHAnsi"/>
        </w:rPr>
        <w:t>nization (2000) supports this position</w:t>
      </w:r>
      <w:r w:rsidR="00032873">
        <w:rPr>
          <w:rFonts w:asciiTheme="minorHAnsi" w:hAnsiTheme="minorHAnsi"/>
        </w:rPr>
        <w:t>, noting</w:t>
      </w:r>
      <w:r w:rsidR="0093468B">
        <w:rPr>
          <w:rFonts w:asciiTheme="minorHAnsi" w:hAnsiTheme="minorHAnsi"/>
        </w:rPr>
        <w:t xml:space="preserve"> that</w:t>
      </w:r>
      <w:r w:rsidRPr="00F85EE6">
        <w:rPr>
          <w:rFonts w:asciiTheme="minorHAnsi" w:hAnsiTheme="minorHAnsi"/>
        </w:rPr>
        <w:t xml:space="preserve"> for people with mental heal</w:t>
      </w:r>
      <w:r w:rsidR="0093468B">
        <w:rPr>
          <w:rFonts w:asciiTheme="minorHAnsi" w:hAnsiTheme="minorHAnsi"/>
        </w:rPr>
        <w:t xml:space="preserve">th problems </w:t>
      </w:r>
      <w:r w:rsidRPr="00F85EE6">
        <w:rPr>
          <w:rFonts w:asciiTheme="minorHAnsi" w:hAnsiTheme="minorHAnsi"/>
        </w:rPr>
        <w:t>this</w:t>
      </w:r>
      <w:r w:rsidR="00032873">
        <w:rPr>
          <w:rFonts w:asciiTheme="minorHAnsi" w:hAnsiTheme="minorHAnsi"/>
        </w:rPr>
        <w:t xml:space="preserve"> can be </w:t>
      </w:r>
      <w:r w:rsidRPr="00F85EE6">
        <w:rPr>
          <w:rFonts w:asciiTheme="minorHAnsi" w:hAnsiTheme="minorHAnsi"/>
        </w:rPr>
        <w:t xml:space="preserve">challenging. </w:t>
      </w:r>
    </w:p>
    <w:p w:rsidR="00024BCF" w:rsidRPr="00F85EE6" w:rsidRDefault="00024BCF" w:rsidP="00F85EE6">
      <w:pPr>
        <w:spacing w:line="240" w:lineRule="auto"/>
        <w:jc w:val="both"/>
        <w:rPr>
          <w:rFonts w:asciiTheme="minorHAnsi" w:hAnsiTheme="minorHAnsi"/>
        </w:rPr>
      </w:pPr>
    </w:p>
    <w:p w:rsidR="0093468B" w:rsidRDefault="00F34CF0" w:rsidP="00F85EE6">
      <w:pPr>
        <w:spacing w:line="240" w:lineRule="auto"/>
        <w:jc w:val="both"/>
        <w:rPr>
          <w:rFonts w:asciiTheme="minorHAnsi" w:hAnsiTheme="minorHAnsi"/>
        </w:rPr>
      </w:pPr>
      <w:r w:rsidRPr="00F85EE6">
        <w:rPr>
          <w:rFonts w:asciiTheme="minorHAnsi" w:hAnsiTheme="minorHAnsi"/>
        </w:rPr>
        <w:lastRenderedPageBreak/>
        <w:t>The advent of an evidence based model of supported employment (Indiv</w:t>
      </w:r>
      <w:r w:rsidR="00032873">
        <w:rPr>
          <w:rFonts w:asciiTheme="minorHAnsi" w:hAnsiTheme="minorHAnsi"/>
        </w:rPr>
        <w:t>idual Placement and Support, Becker and Drake, 1994</w:t>
      </w:r>
      <w:r w:rsidRPr="00F85EE6">
        <w:rPr>
          <w:rFonts w:asciiTheme="minorHAnsi" w:hAnsiTheme="minorHAnsi"/>
        </w:rPr>
        <w:t xml:space="preserve">) has </w:t>
      </w:r>
      <w:r w:rsidR="0093468B">
        <w:rPr>
          <w:rFonts w:asciiTheme="minorHAnsi" w:hAnsiTheme="minorHAnsi"/>
        </w:rPr>
        <w:t xml:space="preserve">focused </w:t>
      </w:r>
      <w:r w:rsidR="00F36ECE">
        <w:rPr>
          <w:rFonts w:asciiTheme="minorHAnsi" w:hAnsiTheme="minorHAnsi"/>
        </w:rPr>
        <w:t xml:space="preserve">the </w:t>
      </w:r>
      <w:r w:rsidR="0093468B">
        <w:rPr>
          <w:rFonts w:asciiTheme="minorHAnsi" w:hAnsiTheme="minorHAnsi"/>
        </w:rPr>
        <w:t>attention</w:t>
      </w:r>
      <w:r w:rsidR="00F36ECE">
        <w:rPr>
          <w:rFonts w:asciiTheme="minorHAnsi" w:hAnsiTheme="minorHAnsi"/>
        </w:rPr>
        <w:t xml:space="preserve"> of policy makers and health care providers</w:t>
      </w:r>
      <w:r w:rsidR="0093468B">
        <w:rPr>
          <w:rFonts w:asciiTheme="minorHAnsi" w:hAnsiTheme="minorHAnsi"/>
        </w:rPr>
        <w:t xml:space="preserve"> on work for people with mental health problems, challenging</w:t>
      </w:r>
      <w:r w:rsidRPr="00F85EE6">
        <w:rPr>
          <w:rFonts w:asciiTheme="minorHAnsi" w:hAnsiTheme="minorHAnsi"/>
        </w:rPr>
        <w:t xml:space="preserve"> the notion that pe</w:t>
      </w:r>
      <w:r w:rsidR="0093468B">
        <w:rPr>
          <w:rFonts w:asciiTheme="minorHAnsi" w:hAnsiTheme="minorHAnsi"/>
        </w:rPr>
        <w:t>ople</w:t>
      </w:r>
      <w:r w:rsidRPr="00F85EE6">
        <w:rPr>
          <w:rFonts w:asciiTheme="minorHAnsi" w:hAnsiTheme="minorHAnsi"/>
        </w:rPr>
        <w:t xml:space="preserve"> cannot work until or unless they become symptom free (Grove, Secke</w:t>
      </w:r>
      <w:r w:rsidR="004A00AA">
        <w:rPr>
          <w:rFonts w:asciiTheme="minorHAnsi" w:hAnsiTheme="minorHAnsi"/>
        </w:rPr>
        <w:t>r &amp; Seebohm, 2005</w:t>
      </w:r>
      <w:r w:rsidRPr="00F85EE6">
        <w:rPr>
          <w:rFonts w:asciiTheme="minorHAnsi" w:hAnsiTheme="minorHAnsi"/>
        </w:rPr>
        <w:t>). Work for people with mental health problems has become linked with the concept of recovery</w:t>
      </w:r>
      <w:r w:rsidR="001C61F1">
        <w:rPr>
          <w:rFonts w:asciiTheme="minorHAnsi" w:hAnsiTheme="minorHAnsi"/>
        </w:rPr>
        <w:t xml:space="preserve"> (Dunn et al, 2008,2010; Provencher et al, 2002; Strong, 1998; Woodside et al, 2006</w:t>
      </w:r>
      <w:r w:rsidR="00D671D2" w:rsidRPr="00F85EE6">
        <w:rPr>
          <w:rFonts w:asciiTheme="minorHAnsi" w:hAnsiTheme="minorHAnsi"/>
        </w:rPr>
        <w:t>)</w:t>
      </w:r>
      <w:r w:rsidRPr="00F85EE6">
        <w:rPr>
          <w:rFonts w:asciiTheme="minorHAnsi" w:hAnsiTheme="minorHAnsi"/>
        </w:rPr>
        <w:t>, where recovery is understood as having a meaningful and fulfilling life, even despite the continuation of experiences associated with illness (A</w:t>
      </w:r>
      <w:r w:rsidR="001C61F1">
        <w:rPr>
          <w:rFonts w:asciiTheme="minorHAnsi" w:hAnsiTheme="minorHAnsi"/>
        </w:rPr>
        <w:t xml:space="preserve">nthony, 1993). The personal </w:t>
      </w:r>
      <w:r w:rsidR="001C61F1" w:rsidRPr="00F85EE6">
        <w:rPr>
          <w:rFonts w:asciiTheme="minorHAnsi" w:hAnsiTheme="minorHAnsi"/>
        </w:rPr>
        <w:t>nature</w:t>
      </w:r>
      <w:r w:rsidRPr="00F85EE6">
        <w:rPr>
          <w:rFonts w:asciiTheme="minorHAnsi" w:hAnsiTheme="minorHAnsi"/>
        </w:rPr>
        <w:t xml:space="preserve"> of recovery, with the emphasis on meaning and fulfillment in life, renders recovery approaches to practice highly consistent with the client-centered stance of the occupational therapy profession (World Federation of Occupationa</w:t>
      </w:r>
      <w:r w:rsidR="00511BC0" w:rsidRPr="00F85EE6">
        <w:rPr>
          <w:rFonts w:asciiTheme="minorHAnsi" w:hAnsiTheme="minorHAnsi"/>
        </w:rPr>
        <w:t xml:space="preserve">l Therapists, 2010). However, an exclusive </w:t>
      </w:r>
      <w:r w:rsidRPr="00F85EE6">
        <w:rPr>
          <w:rFonts w:asciiTheme="minorHAnsi" w:hAnsiTheme="minorHAnsi"/>
        </w:rPr>
        <w:t>focus on return t</w:t>
      </w:r>
      <w:r w:rsidR="001C61F1">
        <w:rPr>
          <w:rFonts w:asciiTheme="minorHAnsi" w:hAnsiTheme="minorHAnsi"/>
        </w:rPr>
        <w:t xml:space="preserve">o work as a successful outcome </w:t>
      </w:r>
      <w:r w:rsidRPr="00F85EE6">
        <w:rPr>
          <w:rFonts w:asciiTheme="minorHAnsi" w:hAnsiTheme="minorHAnsi"/>
        </w:rPr>
        <w:t>could risk overshadowing other importan</w:t>
      </w:r>
      <w:r w:rsidR="0093468B">
        <w:rPr>
          <w:rFonts w:asciiTheme="minorHAnsi" w:hAnsiTheme="minorHAnsi"/>
        </w:rPr>
        <w:t>t aspects of occupational participation</w:t>
      </w:r>
      <w:r w:rsidRPr="00F85EE6">
        <w:rPr>
          <w:rFonts w:asciiTheme="minorHAnsi" w:hAnsiTheme="minorHAnsi"/>
        </w:rPr>
        <w:t xml:space="preserve"> (Holmes, 2007), and prove limiting in the work of occupational therapists, and in the lives of their clients.</w:t>
      </w:r>
      <w:r w:rsidR="00BB18D7">
        <w:rPr>
          <w:rFonts w:asciiTheme="minorHAnsi" w:hAnsiTheme="minorHAnsi"/>
        </w:rPr>
        <w:t xml:space="preserve"> </w:t>
      </w:r>
    </w:p>
    <w:p w:rsidR="00EF4AAB" w:rsidRPr="00F85EE6" w:rsidRDefault="0093468B" w:rsidP="00F85EE6">
      <w:pPr>
        <w:spacing w:line="240" w:lineRule="auto"/>
        <w:jc w:val="both"/>
        <w:rPr>
          <w:rFonts w:asciiTheme="minorHAnsi" w:hAnsiTheme="minorHAnsi"/>
        </w:rPr>
      </w:pPr>
      <w:r>
        <w:rPr>
          <w:rFonts w:asciiTheme="minorHAnsi" w:hAnsiTheme="minorHAnsi"/>
        </w:rPr>
        <w:t>Many</w:t>
      </w:r>
      <w:r w:rsidR="001C61F1">
        <w:rPr>
          <w:rFonts w:asciiTheme="minorHAnsi" w:hAnsiTheme="minorHAnsi"/>
        </w:rPr>
        <w:t xml:space="preserve"> authors have shown</w:t>
      </w:r>
      <w:r w:rsidR="00D671D2" w:rsidRPr="00F85EE6">
        <w:rPr>
          <w:rFonts w:asciiTheme="minorHAnsi" w:hAnsiTheme="minorHAnsi"/>
        </w:rPr>
        <w:t xml:space="preserve"> that recovery is primarily a social process that takes place among the everyday activities in a person’s life (Borg and Kristiansen, 2008). Davidson et al (2005) </w:t>
      </w:r>
      <w:r w:rsidR="001C61F1">
        <w:rPr>
          <w:rFonts w:asciiTheme="minorHAnsi" w:hAnsiTheme="minorHAnsi"/>
        </w:rPr>
        <w:t>proposed</w:t>
      </w:r>
      <w:r w:rsidRPr="00F85EE6">
        <w:rPr>
          <w:rFonts w:asciiTheme="minorHAnsi" w:hAnsiTheme="minorHAnsi"/>
        </w:rPr>
        <w:t xml:space="preserve"> that</w:t>
      </w:r>
      <w:r w:rsidR="00D671D2" w:rsidRPr="00F85EE6">
        <w:rPr>
          <w:rFonts w:asciiTheme="minorHAnsi" w:hAnsiTheme="minorHAnsi"/>
        </w:rPr>
        <w:t xml:space="preserve"> recovery is primarily concer</w:t>
      </w:r>
      <w:r>
        <w:rPr>
          <w:rFonts w:asciiTheme="minorHAnsi" w:hAnsiTheme="minorHAnsi"/>
        </w:rPr>
        <w:t>ned wi</w:t>
      </w:r>
      <w:r w:rsidR="00496D67">
        <w:rPr>
          <w:rFonts w:asciiTheme="minorHAnsi" w:hAnsiTheme="minorHAnsi"/>
        </w:rPr>
        <w:t>th what people do,</w:t>
      </w:r>
      <w:r>
        <w:rPr>
          <w:rFonts w:asciiTheme="minorHAnsi" w:hAnsiTheme="minorHAnsi"/>
        </w:rPr>
        <w:t xml:space="preserve"> understand</w:t>
      </w:r>
      <w:r w:rsidR="00496D67">
        <w:rPr>
          <w:rFonts w:asciiTheme="minorHAnsi" w:hAnsiTheme="minorHAnsi"/>
        </w:rPr>
        <w:t>ing</w:t>
      </w:r>
      <w:r>
        <w:rPr>
          <w:rFonts w:asciiTheme="minorHAnsi" w:hAnsiTheme="minorHAnsi"/>
        </w:rPr>
        <w:t xml:space="preserve"> work a</w:t>
      </w:r>
      <w:r w:rsidR="00D671D2" w:rsidRPr="00F85EE6">
        <w:rPr>
          <w:rFonts w:asciiTheme="minorHAnsi" w:hAnsiTheme="minorHAnsi"/>
        </w:rPr>
        <w:t>s a meaningful occupation which offers oppor</w:t>
      </w:r>
      <w:r w:rsidR="00496D67">
        <w:rPr>
          <w:rFonts w:asciiTheme="minorHAnsi" w:hAnsiTheme="minorHAnsi"/>
        </w:rPr>
        <w:t xml:space="preserve">tunities for social engagement, </w:t>
      </w:r>
      <w:r w:rsidR="00D671D2" w:rsidRPr="00F85EE6">
        <w:rPr>
          <w:rFonts w:asciiTheme="minorHAnsi" w:hAnsiTheme="minorHAnsi"/>
        </w:rPr>
        <w:t>the development of new skill</w:t>
      </w:r>
      <w:r w:rsidR="001C61F1">
        <w:rPr>
          <w:rFonts w:asciiTheme="minorHAnsi" w:hAnsiTheme="minorHAnsi"/>
        </w:rPr>
        <w:t>s, and opportunities to feel valued.</w:t>
      </w:r>
      <w:r w:rsidR="00D671D2" w:rsidRPr="00F85EE6">
        <w:rPr>
          <w:rFonts w:asciiTheme="minorHAnsi" w:hAnsiTheme="minorHAnsi"/>
        </w:rPr>
        <w:t xml:space="preserve"> </w:t>
      </w:r>
      <w:r w:rsidR="001C61F1">
        <w:rPr>
          <w:rFonts w:asciiTheme="minorHAnsi" w:hAnsiTheme="minorHAnsi"/>
        </w:rPr>
        <w:t xml:space="preserve">Jahoda (1981) identified </w:t>
      </w:r>
      <w:r w:rsidR="004A00AA">
        <w:rPr>
          <w:rFonts w:asciiTheme="minorHAnsi" w:hAnsiTheme="minorHAnsi"/>
        </w:rPr>
        <w:t>the</w:t>
      </w:r>
      <w:r w:rsidR="00496D67">
        <w:rPr>
          <w:rFonts w:asciiTheme="minorHAnsi" w:hAnsiTheme="minorHAnsi"/>
        </w:rPr>
        <w:t xml:space="preserve"> </w:t>
      </w:r>
      <w:r w:rsidR="001C61F1">
        <w:rPr>
          <w:rFonts w:asciiTheme="minorHAnsi" w:hAnsiTheme="minorHAnsi"/>
        </w:rPr>
        <w:t>‘latent’ aspects of work</w:t>
      </w:r>
      <w:r w:rsidR="004A00AA">
        <w:rPr>
          <w:rFonts w:asciiTheme="minorHAnsi" w:hAnsiTheme="minorHAnsi"/>
        </w:rPr>
        <w:t>, and s</w:t>
      </w:r>
      <w:r w:rsidR="00496D67">
        <w:rPr>
          <w:rFonts w:asciiTheme="minorHAnsi" w:hAnsiTheme="minorHAnsi"/>
        </w:rPr>
        <w:t>ubsequent literature has supported the idea that work provides opportunities that go beyond simply a means to earn money</w:t>
      </w:r>
      <w:r w:rsidR="004A00AA">
        <w:rPr>
          <w:rFonts w:asciiTheme="minorHAnsi" w:hAnsiTheme="minorHAnsi"/>
        </w:rPr>
        <w:t>, but can contribute to increasing self esteem</w:t>
      </w:r>
      <w:r w:rsidR="00D31BED">
        <w:rPr>
          <w:rFonts w:asciiTheme="minorHAnsi" w:hAnsiTheme="minorHAnsi"/>
        </w:rPr>
        <w:t xml:space="preserve"> by holding a socially valued role, provide a way to establish a personal identity, and offer opportunities to feel a sense of achievement</w:t>
      </w:r>
      <w:r w:rsidRPr="00F85EE6">
        <w:rPr>
          <w:rFonts w:asciiTheme="minorHAnsi" w:hAnsiTheme="minorHAnsi"/>
        </w:rPr>
        <w:t xml:space="preserve"> </w:t>
      </w:r>
      <w:r w:rsidR="00D31BED" w:rsidRPr="00F85EE6">
        <w:rPr>
          <w:rFonts w:asciiTheme="minorHAnsi" w:hAnsiTheme="minorHAnsi"/>
        </w:rPr>
        <w:t>(</w:t>
      </w:r>
      <w:r w:rsidR="00D31BED">
        <w:rPr>
          <w:rFonts w:asciiTheme="minorHAnsi" w:hAnsiTheme="minorHAnsi"/>
        </w:rPr>
        <w:t xml:space="preserve">Boyce et al, 2008; </w:t>
      </w:r>
      <w:r w:rsidRPr="00F85EE6">
        <w:rPr>
          <w:rFonts w:asciiTheme="minorHAnsi" w:hAnsiTheme="minorHAnsi"/>
        </w:rPr>
        <w:t>Koletsi</w:t>
      </w:r>
      <w:r w:rsidR="00D671D2" w:rsidRPr="00F85EE6">
        <w:rPr>
          <w:rFonts w:asciiTheme="minorHAnsi" w:hAnsiTheme="minorHAnsi"/>
        </w:rPr>
        <w:t xml:space="preserve"> et al, 2009; Gewurtz &amp; Kirsh, 2007; </w:t>
      </w:r>
      <w:proofErr w:type="spellStart"/>
      <w:r w:rsidR="00D671D2" w:rsidRPr="00F85EE6">
        <w:rPr>
          <w:rFonts w:asciiTheme="minorHAnsi" w:hAnsiTheme="minorHAnsi"/>
        </w:rPr>
        <w:t>Gahnstrom</w:t>
      </w:r>
      <w:proofErr w:type="spellEnd"/>
      <w:r w:rsidR="00D671D2" w:rsidRPr="00F85EE6">
        <w:rPr>
          <w:rFonts w:asciiTheme="minorHAnsi" w:hAnsiTheme="minorHAnsi"/>
        </w:rPr>
        <w:t xml:space="preserve"> et</w:t>
      </w:r>
      <w:r w:rsidR="00D31BED">
        <w:rPr>
          <w:rFonts w:asciiTheme="minorHAnsi" w:hAnsiTheme="minorHAnsi"/>
        </w:rPr>
        <w:t xml:space="preserve"> al, 2003</w:t>
      </w:r>
      <w:r w:rsidR="00D671D2" w:rsidRPr="00F85EE6">
        <w:rPr>
          <w:rFonts w:asciiTheme="minorHAnsi" w:hAnsiTheme="minorHAnsi"/>
        </w:rPr>
        <w:t>)</w:t>
      </w:r>
      <w:r>
        <w:rPr>
          <w:rFonts w:asciiTheme="minorHAnsi" w:hAnsiTheme="minorHAnsi"/>
        </w:rPr>
        <w:t xml:space="preserve">. </w:t>
      </w:r>
    </w:p>
    <w:p w:rsidR="0093468B" w:rsidRDefault="00D31BED" w:rsidP="00F85EE6">
      <w:pPr>
        <w:spacing w:line="240" w:lineRule="auto"/>
        <w:jc w:val="both"/>
        <w:rPr>
          <w:rFonts w:asciiTheme="minorHAnsi" w:hAnsiTheme="minorHAnsi"/>
        </w:rPr>
      </w:pPr>
      <w:r>
        <w:rPr>
          <w:rFonts w:asciiTheme="minorHAnsi" w:hAnsiTheme="minorHAnsi"/>
        </w:rPr>
        <w:t>U</w:t>
      </w:r>
      <w:r w:rsidR="003C66B7" w:rsidRPr="00F85EE6">
        <w:rPr>
          <w:rFonts w:asciiTheme="minorHAnsi" w:hAnsiTheme="minorHAnsi"/>
        </w:rPr>
        <w:t xml:space="preserve">nderstandings of work </w:t>
      </w:r>
      <w:r w:rsidR="00EF4AAB" w:rsidRPr="00F85EE6">
        <w:rPr>
          <w:rFonts w:asciiTheme="minorHAnsi" w:hAnsiTheme="minorHAnsi"/>
        </w:rPr>
        <w:t xml:space="preserve">may </w:t>
      </w:r>
      <w:r w:rsidR="0093468B">
        <w:rPr>
          <w:rFonts w:asciiTheme="minorHAnsi" w:hAnsiTheme="minorHAnsi"/>
        </w:rPr>
        <w:t xml:space="preserve">also </w:t>
      </w:r>
      <w:r w:rsidR="00EF4AAB" w:rsidRPr="00F85EE6">
        <w:rPr>
          <w:rFonts w:asciiTheme="minorHAnsi" w:hAnsiTheme="minorHAnsi"/>
        </w:rPr>
        <w:t xml:space="preserve">be informed by the writings of contributors to the occupational science evidence base. For example </w:t>
      </w:r>
      <w:r w:rsidR="00D72158">
        <w:rPr>
          <w:rFonts w:asciiTheme="minorHAnsi" w:hAnsiTheme="minorHAnsi"/>
        </w:rPr>
        <w:t xml:space="preserve">Larson and Zemke (2003), </w:t>
      </w:r>
      <w:r w:rsidR="00496D67">
        <w:rPr>
          <w:rFonts w:asciiTheme="minorHAnsi" w:hAnsiTheme="minorHAnsi"/>
        </w:rPr>
        <w:t xml:space="preserve">Hocking (2009) </w:t>
      </w:r>
      <w:r w:rsidR="00D72158">
        <w:rPr>
          <w:rFonts w:asciiTheme="minorHAnsi" w:hAnsiTheme="minorHAnsi"/>
        </w:rPr>
        <w:t xml:space="preserve">and Russell (2009) </w:t>
      </w:r>
      <w:r w:rsidR="00496D67">
        <w:rPr>
          <w:rFonts w:asciiTheme="minorHAnsi" w:hAnsiTheme="minorHAnsi"/>
        </w:rPr>
        <w:t>urge occupational therapists and occup</w:t>
      </w:r>
      <w:r>
        <w:rPr>
          <w:rFonts w:asciiTheme="minorHAnsi" w:hAnsiTheme="minorHAnsi"/>
        </w:rPr>
        <w:t>ational scientists towards an appreciation</w:t>
      </w:r>
      <w:r w:rsidR="00496D67">
        <w:rPr>
          <w:rFonts w:asciiTheme="minorHAnsi" w:hAnsiTheme="minorHAnsi"/>
        </w:rPr>
        <w:t xml:space="preserve"> of the form, function and meaning of occupations which demands a detailed understanding of occupations as a way to a deeper understanding of occupational participation. </w:t>
      </w:r>
      <w:r w:rsidR="004C0F80">
        <w:rPr>
          <w:rFonts w:asciiTheme="minorHAnsi" w:hAnsiTheme="minorHAnsi"/>
        </w:rPr>
        <w:t xml:space="preserve">Sutton et al (2012) point to the need for consideration of each person’s experience in the interpretation of their occupational engagement. </w:t>
      </w:r>
      <w:r w:rsidR="00496D67" w:rsidRPr="00F85EE6">
        <w:rPr>
          <w:rFonts w:asciiTheme="minorHAnsi" w:hAnsiTheme="minorHAnsi"/>
        </w:rPr>
        <w:t>Wh</w:t>
      </w:r>
      <w:r w:rsidR="00496D67">
        <w:rPr>
          <w:rFonts w:asciiTheme="minorHAnsi" w:hAnsiTheme="minorHAnsi"/>
        </w:rPr>
        <w:t xml:space="preserve">alley Hammell (2004) has called </w:t>
      </w:r>
      <w:r w:rsidR="00496D67" w:rsidRPr="00F85EE6">
        <w:rPr>
          <w:rFonts w:asciiTheme="minorHAnsi" w:hAnsiTheme="minorHAnsi"/>
        </w:rPr>
        <w:t>for an understanding of occupation in terms of dimensions of meaning rather than a categorization of activities under the broad headings of self care, productivity and leisure.</w:t>
      </w:r>
      <w:r>
        <w:rPr>
          <w:rFonts w:asciiTheme="minorHAnsi" w:hAnsiTheme="minorHAnsi"/>
        </w:rPr>
        <w:t xml:space="preserve"> Exploring work from an occupational perspective may add nuance to previously broad </w:t>
      </w:r>
      <w:r w:rsidR="00305D66">
        <w:rPr>
          <w:rFonts w:asciiTheme="minorHAnsi" w:hAnsiTheme="minorHAnsi"/>
        </w:rPr>
        <w:t xml:space="preserve">categorizations of occupational engagement. </w:t>
      </w:r>
    </w:p>
    <w:p w:rsidR="00305D66" w:rsidRDefault="00305D66" w:rsidP="00F85EE6">
      <w:pPr>
        <w:spacing w:line="240" w:lineRule="auto"/>
        <w:jc w:val="both"/>
        <w:rPr>
          <w:rFonts w:asciiTheme="minorHAnsi" w:hAnsiTheme="minorHAnsi"/>
          <w:lang w:val="en-GB"/>
        </w:rPr>
      </w:pPr>
      <w:r>
        <w:rPr>
          <w:rFonts w:asciiTheme="minorHAnsi" w:hAnsiTheme="minorHAnsi"/>
          <w:lang w:val="en-GB"/>
        </w:rPr>
        <w:t xml:space="preserve">For example, </w:t>
      </w:r>
      <w:r w:rsidR="00F34CF0" w:rsidRPr="00F85EE6">
        <w:rPr>
          <w:rFonts w:asciiTheme="minorHAnsi" w:hAnsiTheme="minorHAnsi"/>
          <w:lang w:val="en-GB"/>
        </w:rPr>
        <w:t xml:space="preserve">Reed et al (2010) suggested </w:t>
      </w:r>
      <w:r w:rsidR="00496D67">
        <w:rPr>
          <w:rFonts w:asciiTheme="minorHAnsi" w:hAnsiTheme="minorHAnsi"/>
          <w:lang w:val="en-GB"/>
        </w:rPr>
        <w:t>that the meaning of occupation</w:t>
      </w:r>
      <w:r w:rsidR="00F34CF0" w:rsidRPr="00F85EE6">
        <w:rPr>
          <w:rFonts w:asciiTheme="minorHAnsi" w:hAnsiTheme="minorHAnsi"/>
          <w:lang w:val="en-GB"/>
        </w:rPr>
        <w:t xml:space="preserve"> shows itself in the way that occupation connects the past with the present and with the future (p145). Thus occupation can be seen as a thread, running through a lifetime and suggesting that there is temporality to the meaning of occupation which may be important to understand. Thinking about the meaning of work for an individual, this temporal aspect may be important to consider in terms of how people develop a career over a lifetime, or have gaps in their work histories due to illness or other reasons</w:t>
      </w:r>
      <w:r>
        <w:rPr>
          <w:rFonts w:asciiTheme="minorHAnsi" w:hAnsiTheme="minorHAnsi"/>
          <w:lang w:val="en-GB"/>
        </w:rPr>
        <w:t xml:space="preserve"> (Dunn et al, 2008, 2010).</w:t>
      </w:r>
    </w:p>
    <w:p w:rsidR="00305D66" w:rsidRDefault="00305D66" w:rsidP="00F85EE6">
      <w:pPr>
        <w:spacing w:line="240" w:lineRule="auto"/>
        <w:jc w:val="both"/>
        <w:rPr>
          <w:rFonts w:asciiTheme="minorHAnsi" w:hAnsiTheme="minorHAnsi"/>
          <w:lang w:val="en-GB"/>
        </w:rPr>
      </w:pPr>
    </w:p>
    <w:p w:rsidR="00814416" w:rsidRDefault="00F34CF0" w:rsidP="00F85EE6">
      <w:pPr>
        <w:spacing w:line="240" w:lineRule="auto"/>
        <w:jc w:val="both"/>
        <w:rPr>
          <w:rFonts w:asciiTheme="minorHAnsi" w:hAnsiTheme="minorHAnsi"/>
        </w:rPr>
      </w:pPr>
      <w:r w:rsidRPr="00F85EE6">
        <w:rPr>
          <w:rFonts w:asciiTheme="minorHAnsi" w:hAnsiTheme="minorHAnsi"/>
          <w:lang w:val="en-GB"/>
        </w:rPr>
        <w:lastRenderedPageBreak/>
        <w:t>Christiansen and Bryan (1999)</w:t>
      </w:r>
      <w:r w:rsidRPr="00F85EE6">
        <w:rPr>
          <w:rFonts w:asciiTheme="minorHAnsi" w:hAnsiTheme="minorHAnsi"/>
        </w:rPr>
        <w:t xml:space="preserve"> </w:t>
      </w:r>
      <w:r w:rsidR="00305D66">
        <w:rPr>
          <w:rFonts w:asciiTheme="minorHAnsi" w:hAnsiTheme="minorHAnsi"/>
        </w:rPr>
        <w:t>suggested</w:t>
      </w:r>
      <w:r w:rsidRPr="00F85EE6">
        <w:rPr>
          <w:rFonts w:asciiTheme="minorHAnsi" w:hAnsiTheme="minorHAnsi"/>
        </w:rPr>
        <w:t xml:space="preserve"> that people are universally concerned with social identity and acceptance by others, and that positive identities are created when people perceive the approval of others (Christiansen, 2</w:t>
      </w:r>
      <w:r w:rsidR="00496D67">
        <w:rPr>
          <w:rFonts w:asciiTheme="minorHAnsi" w:hAnsiTheme="minorHAnsi"/>
        </w:rPr>
        <w:t>004). Christiansen (2004) suggested</w:t>
      </w:r>
      <w:r w:rsidRPr="00F85EE6">
        <w:rPr>
          <w:rFonts w:asciiTheme="minorHAnsi" w:hAnsiTheme="minorHAnsi"/>
        </w:rPr>
        <w:t xml:space="preserve"> that we becom</w:t>
      </w:r>
      <w:r w:rsidR="00305D66">
        <w:rPr>
          <w:rFonts w:asciiTheme="minorHAnsi" w:hAnsiTheme="minorHAnsi"/>
        </w:rPr>
        <w:t>e who we are through what we do, and thus</w:t>
      </w:r>
      <w:r w:rsidRPr="00F85EE6">
        <w:rPr>
          <w:rFonts w:asciiTheme="minorHAnsi" w:hAnsiTheme="minorHAnsi"/>
        </w:rPr>
        <w:t xml:space="preserve"> </w:t>
      </w:r>
      <w:r w:rsidR="00305D66" w:rsidRPr="00F85EE6">
        <w:rPr>
          <w:rFonts w:asciiTheme="minorHAnsi" w:hAnsiTheme="minorHAnsi"/>
        </w:rPr>
        <w:t>introduced the co</w:t>
      </w:r>
      <w:r w:rsidR="00305D66">
        <w:rPr>
          <w:rFonts w:asciiTheme="minorHAnsi" w:hAnsiTheme="minorHAnsi"/>
        </w:rPr>
        <w:t>ncept of occupational identity. E</w:t>
      </w:r>
      <w:r w:rsidRPr="00F85EE6">
        <w:rPr>
          <w:rFonts w:asciiTheme="minorHAnsi" w:hAnsiTheme="minorHAnsi"/>
        </w:rPr>
        <w:t xml:space="preserve">ngagement in employment may have important indications for the construction of an occupational identity. Lack of employment may also influence the sense of self in negative ways, leading to loss of confidence, self esteem and self efficacy (Seebohm &amp; Scott, 2004; Dunn, Wewiorski &amp; Rogers, 2010). </w:t>
      </w:r>
    </w:p>
    <w:p w:rsidR="00511BC0" w:rsidRPr="00F85EE6" w:rsidRDefault="00305D66" w:rsidP="00F85EE6">
      <w:pPr>
        <w:spacing w:line="240" w:lineRule="auto"/>
        <w:jc w:val="both"/>
        <w:rPr>
          <w:rFonts w:asciiTheme="minorHAnsi" w:hAnsiTheme="minorHAnsi"/>
          <w:lang w:val="en-GB"/>
        </w:rPr>
      </w:pPr>
      <w:r>
        <w:rPr>
          <w:rFonts w:asciiTheme="minorHAnsi" w:hAnsiTheme="minorHAnsi"/>
        </w:rPr>
        <w:t xml:space="preserve">Though engagement in occupations in general and work in particular has been the focus of enquiry in recent years, </w:t>
      </w:r>
      <w:r>
        <w:rPr>
          <w:rFonts w:asciiTheme="minorHAnsi" w:hAnsiTheme="minorHAnsi"/>
          <w:lang w:val="en-GB"/>
        </w:rPr>
        <w:t>t</w:t>
      </w:r>
      <w:r w:rsidR="00F34CF0" w:rsidRPr="00F85EE6">
        <w:rPr>
          <w:rFonts w:asciiTheme="minorHAnsi" w:hAnsiTheme="minorHAnsi"/>
          <w:lang w:val="en-GB"/>
        </w:rPr>
        <w:t>wo authors, writing almost a decade apart (Honey,</w:t>
      </w:r>
      <w:r>
        <w:rPr>
          <w:rFonts w:asciiTheme="minorHAnsi" w:hAnsiTheme="minorHAnsi"/>
          <w:lang w:val="en-GB"/>
        </w:rPr>
        <w:t xml:space="preserve"> 2000; Van Niekerk, 2009) </w:t>
      </w:r>
      <w:proofErr w:type="spellStart"/>
      <w:r>
        <w:rPr>
          <w:rFonts w:asciiTheme="minorHAnsi" w:hAnsiTheme="minorHAnsi"/>
          <w:lang w:val="en-GB"/>
        </w:rPr>
        <w:t>commneted</w:t>
      </w:r>
      <w:proofErr w:type="spellEnd"/>
      <w:r w:rsidR="00F34CF0" w:rsidRPr="00F85EE6">
        <w:rPr>
          <w:rFonts w:asciiTheme="minorHAnsi" w:hAnsiTheme="minorHAnsi"/>
          <w:lang w:val="en-GB"/>
        </w:rPr>
        <w:t xml:space="preserve"> that mental health service users’ voices are largely absent from the literature </w:t>
      </w:r>
      <w:r w:rsidR="00511BC0" w:rsidRPr="00F85EE6">
        <w:rPr>
          <w:rFonts w:asciiTheme="minorHAnsi" w:hAnsiTheme="minorHAnsi"/>
          <w:lang w:val="en-GB"/>
        </w:rPr>
        <w:t xml:space="preserve">on mental health and employment. </w:t>
      </w:r>
      <w:r w:rsidR="00F34CF0" w:rsidRPr="00F85EE6">
        <w:rPr>
          <w:rFonts w:asciiTheme="minorHAnsi" w:hAnsiTheme="minorHAnsi"/>
          <w:lang w:val="en-GB"/>
        </w:rPr>
        <w:t xml:space="preserve"> </w:t>
      </w:r>
      <w:r w:rsidR="00D85A09">
        <w:rPr>
          <w:rFonts w:asciiTheme="minorHAnsi" w:hAnsiTheme="minorHAnsi"/>
          <w:lang w:val="en-GB"/>
        </w:rPr>
        <w:t xml:space="preserve">Blank et al </w:t>
      </w:r>
      <w:r w:rsidR="00511BC0" w:rsidRPr="00F85EE6">
        <w:rPr>
          <w:rFonts w:asciiTheme="minorHAnsi" w:hAnsiTheme="minorHAnsi"/>
          <w:lang w:val="en-GB"/>
        </w:rPr>
        <w:t>(2011) conducted a review of literature which explored the views and perspectives on work of people who used mental health servi</w:t>
      </w:r>
      <w:r>
        <w:rPr>
          <w:rFonts w:asciiTheme="minorHAnsi" w:hAnsiTheme="minorHAnsi"/>
          <w:lang w:val="en-GB"/>
        </w:rPr>
        <w:t>ces. The evidence base indicated</w:t>
      </w:r>
      <w:r w:rsidR="00511BC0" w:rsidRPr="00F85EE6">
        <w:rPr>
          <w:rFonts w:asciiTheme="minorHAnsi" w:hAnsiTheme="minorHAnsi"/>
          <w:lang w:val="en-GB"/>
        </w:rPr>
        <w:t xml:space="preserve"> that work holds multiple meanings for people with mental health problems, that there are advantages and disadvantages to working, and that many barriers to working with a mental health problem still exist. </w:t>
      </w:r>
      <w:r w:rsidR="00D85A09">
        <w:rPr>
          <w:rFonts w:asciiTheme="minorHAnsi" w:hAnsiTheme="minorHAnsi"/>
          <w:lang w:val="en-GB"/>
        </w:rPr>
        <w:t>However, a detailed exploration of the nuanced meanings and lived experiences of work, from the perspectives of people living with mental health problems, that is informed by an occupational perspective</w:t>
      </w:r>
      <w:r>
        <w:rPr>
          <w:rFonts w:asciiTheme="minorHAnsi" w:hAnsiTheme="minorHAnsi"/>
          <w:lang w:val="en-GB"/>
        </w:rPr>
        <w:t>, could deepen understanding meanings attached to work.</w:t>
      </w:r>
      <w:r w:rsidR="00D85A09">
        <w:rPr>
          <w:rFonts w:asciiTheme="minorHAnsi" w:hAnsiTheme="minorHAnsi"/>
          <w:lang w:val="en-GB"/>
        </w:rPr>
        <w:t xml:space="preserve"> Therefore we formulated the following research question in order to address this gap in the literature - </w:t>
      </w:r>
    </w:p>
    <w:p w:rsidR="00814416" w:rsidRPr="00F85EE6" w:rsidRDefault="00F34CF0" w:rsidP="00F85EE6">
      <w:pPr>
        <w:spacing w:line="240" w:lineRule="auto"/>
        <w:jc w:val="both"/>
        <w:rPr>
          <w:rFonts w:asciiTheme="minorHAnsi" w:hAnsiTheme="minorHAnsi"/>
        </w:rPr>
      </w:pPr>
      <w:r w:rsidRPr="00F85EE6">
        <w:rPr>
          <w:rFonts w:asciiTheme="minorHAnsi" w:hAnsiTheme="minorHAnsi"/>
          <w:i/>
          <w:iCs/>
        </w:rPr>
        <w:t>What is the meaning of work for people living with severe and enduring mental health problems?</w:t>
      </w:r>
    </w:p>
    <w:p w:rsidR="00814416" w:rsidRPr="00F85EE6" w:rsidRDefault="00814416" w:rsidP="00F85EE6">
      <w:pPr>
        <w:spacing w:line="240" w:lineRule="auto"/>
        <w:jc w:val="both"/>
        <w:rPr>
          <w:rFonts w:asciiTheme="minorHAnsi" w:hAnsiTheme="minorHAnsi"/>
        </w:rPr>
      </w:pPr>
    </w:p>
    <w:p w:rsidR="00814416" w:rsidRPr="00F85EE6" w:rsidRDefault="00F34CF0" w:rsidP="00F85EE6">
      <w:pPr>
        <w:spacing w:line="240" w:lineRule="auto"/>
        <w:jc w:val="both"/>
        <w:rPr>
          <w:rFonts w:asciiTheme="minorHAnsi" w:hAnsiTheme="minorHAnsi"/>
        </w:rPr>
      </w:pPr>
      <w:r w:rsidRPr="00F85EE6">
        <w:rPr>
          <w:rFonts w:asciiTheme="minorHAnsi" w:hAnsiTheme="minorHAnsi"/>
        </w:rPr>
        <w:t>Method</w:t>
      </w:r>
    </w:p>
    <w:p w:rsidR="00D85A09" w:rsidRPr="00F85EE6" w:rsidRDefault="00D85A09" w:rsidP="00D85A09">
      <w:pPr>
        <w:spacing w:line="240" w:lineRule="auto"/>
        <w:jc w:val="both"/>
        <w:rPr>
          <w:rFonts w:asciiTheme="minorHAnsi" w:hAnsiTheme="minorHAnsi"/>
        </w:rPr>
      </w:pPr>
      <w:r w:rsidRPr="00F85EE6">
        <w:rPr>
          <w:rFonts w:asciiTheme="minorHAnsi" w:hAnsiTheme="minorHAnsi"/>
          <w:lang w:val="en-GB"/>
        </w:rPr>
        <w:t>T</w:t>
      </w:r>
      <w:r>
        <w:rPr>
          <w:rFonts w:asciiTheme="minorHAnsi" w:hAnsiTheme="minorHAnsi"/>
          <w:lang w:val="en-GB"/>
        </w:rPr>
        <w:t xml:space="preserve">he study presented in this paper </w:t>
      </w:r>
      <w:r w:rsidRPr="00F85EE6">
        <w:rPr>
          <w:rFonts w:asciiTheme="minorHAnsi" w:hAnsiTheme="minorHAnsi"/>
          <w:lang w:val="en-GB"/>
        </w:rPr>
        <w:t xml:space="preserve">sought to take an emancipatory approach to the study, enabling the voices of people living with severe and enduring mental health problems to be heard. </w:t>
      </w:r>
      <w:r w:rsidRPr="00F85EE6">
        <w:rPr>
          <w:rFonts w:asciiTheme="minorHAnsi" w:hAnsiTheme="minorHAnsi"/>
        </w:rPr>
        <w:t xml:space="preserve">Both the aspiration to give a voice to a </w:t>
      </w:r>
      <w:proofErr w:type="spellStart"/>
      <w:r w:rsidRPr="00F85EE6">
        <w:rPr>
          <w:rFonts w:asciiTheme="minorHAnsi" w:hAnsiTheme="minorHAnsi"/>
        </w:rPr>
        <w:t>marginalised</w:t>
      </w:r>
      <w:proofErr w:type="spellEnd"/>
      <w:r w:rsidRPr="00F85EE6">
        <w:rPr>
          <w:rFonts w:asciiTheme="minorHAnsi" w:hAnsiTheme="minorHAnsi"/>
        </w:rPr>
        <w:t xml:space="preserve"> group of people, and the desire to access rich, lived description through repeated interviews over time influenced the selection of a phenomenological research method. Phenomenological methods are appropriate for exploring lived experience and turn on an understanding of people’s perceptions of the world in which they live and the meaning that this holds for them (Langdridge, 2007).</w:t>
      </w:r>
      <w:r>
        <w:rPr>
          <w:rFonts w:asciiTheme="minorHAnsi" w:hAnsiTheme="minorHAnsi"/>
        </w:rPr>
        <w:t xml:space="preserve"> </w:t>
      </w:r>
      <w:r w:rsidR="00305D66">
        <w:rPr>
          <w:rFonts w:asciiTheme="minorHAnsi" w:hAnsiTheme="minorHAnsi"/>
        </w:rPr>
        <w:t>In their contribution to the evidence base around interpretative phenomenological analysis (IPA</w:t>
      </w:r>
      <w:r w:rsidR="00C343EB">
        <w:rPr>
          <w:rFonts w:asciiTheme="minorHAnsi" w:hAnsiTheme="minorHAnsi"/>
        </w:rPr>
        <w:t>, Smith el al, 2009</w:t>
      </w:r>
      <w:r w:rsidR="00305D66">
        <w:rPr>
          <w:rFonts w:asciiTheme="minorHAnsi" w:hAnsiTheme="minorHAnsi"/>
        </w:rPr>
        <w:t xml:space="preserve">), </w:t>
      </w:r>
      <w:r>
        <w:rPr>
          <w:rFonts w:asciiTheme="minorHAnsi" w:hAnsiTheme="minorHAnsi"/>
        </w:rPr>
        <w:t xml:space="preserve">Larkin et al (2011) have proposed a perspective on phenomenological research that relies on an understanding of </w:t>
      </w:r>
      <w:r w:rsidRPr="00512C8E">
        <w:rPr>
          <w:rFonts w:asciiTheme="minorHAnsi" w:hAnsiTheme="minorHAnsi"/>
          <w:lang w:val="en-GB"/>
        </w:rPr>
        <w:t xml:space="preserve">people </w:t>
      </w:r>
      <w:r w:rsidR="00305D66">
        <w:rPr>
          <w:rFonts w:asciiTheme="minorHAnsi" w:hAnsiTheme="minorHAnsi"/>
          <w:lang w:val="en-GB"/>
        </w:rPr>
        <w:t xml:space="preserve">as </w:t>
      </w:r>
      <w:r>
        <w:rPr>
          <w:rFonts w:asciiTheme="minorHAnsi" w:hAnsiTheme="minorHAnsi"/>
          <w:lang w:val="en-GB"/>
        </w:rPr>
        <w:t xml:space="preserve">active beings (Anderson, 2003). </w:t>
      </w:r>
      <w:r w:rsidRPr="00512C8E">
        <w:rPr>
          <w:rFonts w:asciiTheme="minorHAnsi" w:hAnsiTheme="minorHAnsi"/>
          <w:lang w:val="en-GB"/>
        </w:rPr>
        <w:t>This</w:t>
      </w:r>
      <w:r>
        <w:rPr>
          <w:rFonts w:asciiTheme="minorHAnsi" w:hAnsiTheme="minorHAnsi"/>
          <w:lang w:val="en-GB"/>
        </w:rPr>
        <w:t xml:space="preserve"> fits well </w:t>
      </w:r>
      <w:r w:rsidRPr="00512C8E">
        <w:rPr>
          <w:rFonts w:asciiTheme="minorHAnsi" w:hAnsiTheme="minorHAnsi"/>
          <w:lang w:val="en-GB"/>
        </w:rPr>
        <w:t>with the occ</w:t>
      </w:r>
      <w:r>
        <w:rPr>
          <w:rFonts w:asciiTheme="minorHAnsi" w:hAnsiTheme="minorHAnsi"/>
          <w:lang w:val="en-GB"/>
        </w:rPr>
        <w:t>upational science view of people</w:t>
      </w:r>
      <w:r w:rsidRPr="00512C8E">
        <w:rPr>
          <w:rFonts w:asciiTheme="minorHAnsi" w:hAnsiTheme="minorHAnsi"/>
          <w:lang w:val="en-GB"/>
        </w:rPr>
        <w:t xml:space="preserve"> as occupational beings and occupation as the natural mechanism for health and wel</w:t>
      </w:r>
      <w:r>
        <w:rPr>
          <w:rFonts w:asciiTheme="minorHAnsi" w:hAnsiTheme="minorHAnsi"/>
          <w:lang w:val="en-GB"/>
        </w:rPr>
        <w:t>l-being (</w:t>
      </w:r>
      <w:r w:rsidRPr="00F85EE6">
        <w:rPr>
          <w:rFonts w:asciiTheme="minorHAnsi" w:hAnsiTheme="minorHAnsi"/>
        </w:rPr>
        <w:t xml:space="preserve">Christiansen &amp; Townsend, 2010; </w:t>
      </w:r>
      <w:proofErr w:type="spellStart"/>
      <w:r w:rsidRPr="00F85EE6">
        <w:rPr>
          <w:rFonts w:asciiTheme="minorHAnsi" w:hAnsiTheme="minorHAnsi"/>
        </w:rPr>
        <w:t>Hasselkus</w:t>
      </w:r>
      <w:proofErr w:type="spellEnd"/>
      <w:r w:rsidRPr="00F85EE6">
        <w:rPr>
          <w:rFonts w:asciiTheme="minorHAnsi" w:hAnsiTheme="minorHAnsi"/>
        </w:rPr>
        <w:t>, 2002; Yerxa, 1998</w:t>
      </w:r>
      <w:r>
        <w:rPr>
          <w:rFonts w:asciiTheme="minorHAnsi" w:hAnsiTheme="minorHAnsi"/>
          <w:lang w:val="en-GB"/>
        </w:rPr>
        <w:t xml:space="preserve">). </w:t>
      </w:r>
      <w:r w:rsidRPr="00512C8E">
        <w:rPr>
          <w:rFonts w:asciiTheme="minorHAnsi" w:hAnsiTheme="minorHAnsi"/>
          <w:lang w:val="en-GB"/>
        </w:rPr>
        <w:t>Therefore it w</w:t>
      </w:r>
      <w:r w:rsidR="00305D66">
        <w:rPr>
          <w:rFonts w:asciiTheme="minorHAnsi" w:hAnsiTheme="minorHAnsi"/>
          <w:lang w:val="en-GB"/>
        </w:rPr>
        <w:t>ould seem that this</w:t>
      </w:r>
      <w:r>
        <w:rPr>
          <w:rFonts w:asciiTheme="minorHAnsi" w:hAnsiTheme="minorHAnsi"/>
          <w:lang w:val="en-GB"/>
        </w:rPr>
        <w:t xml:space="preserve"> phenomenological method is an appropriate</w:t>
      </w:r>
      <w:r w:rsidRPr="00512C8E">
        <w:rPr>
          <w:rFonts w:asciiTheme="minorHAnsi" w:hAnsiTheme="minorHAnsi"/>
          <w:lang w:val="en-GB"/>
        </w:rPr>
        <w:t xml:space="preserve"> choice of research method to use to answer occupationally based rese</w:t>
      </w:r>
      <w:r w:rsidR="00C343EB">
        <w:rPr>
          <w:rFonts w:asciiTheme="minorHAnsi" w:hAnsiTheme="minorHAnsi"/>
          <w:lang w:val="en-GB"/>
        </w:rPr>
        <w:t>arch questions, such as the one</w:t>
      </w:r>
      <w:r w:rsidRPr="00512C8E">
        <w:rPr>
          <w:rFonts w:asciiTheme="minorHAnsi" w:hAnsiTheme="minorHAnsi"/>
          <w:lang w:val="en-GB"/>
        </w:rPr>
        <w:t xml:space="preserve"> </w:t>
      </w:r>
      <w:r>
        <w:rPr>
          <w:rFonts w:asciiTheme="minorHAnsi" w:hAnsiTheme="minorHAnsi"/>
          <w:lang w:val="en-GB"/>
        </w:rPr>
        <w:t>this study addressed.</w:t>
      </w:r>
      <w:r w:rsidRPr="00F85EE6">
        <w:rPr>
          <w:rFonts w:asciiTheme="minorHAnsi" w:hAnsiTheme="minorHAnsi"/>
        </w:rPr>
        <w:t xml:space="preserve"> </w:t>
      </w:r>
    </w:p>
    <w:p w:rsidR="00F85EE6" w:rsidRPr="00F85EE6" w:rsidRDefault="00F34CF0" w:rsidP="00F85EE6">
      <w:pPr>
        <w:spacing w:line="240" w:lineRule="auto"/>
        <w:jc w:val="both"/>
        <w:rPr>
          <w:rFonts w:asciiTheme="minorHAnsi" w:hAnsiTheme="minorHAnsi"/>
        </w:rPr>
      </w:pPr>
      <w:r w:rsidRPr="00F85EE6">
        <w:rPr>
          <w:rFonts w:asciiTheme="minorHAnsi" w:hAnsiTheme="minorHAnsi"/>
          <w:lang w:val="en-GB"/>
        </w:rPr>
        <w:t>Interpretative phenomenolo</w:t>
      </w:r>
      <w:r w:rsidR="00C343EB">
        <w:rPr>
          <w:rFonts w:asciiTheme="minorHAnsi" w:hAnsiTheme="minorHAnsi"/>
          <w:lang w:val="en-GB"/>
        </w:rPr>
        <w:t>gical analysis employs</w:t>
      </w:r>
      <w:r w:rsidRPr="00F85EE6">
        <w:rPr>
          <w:rFonts w:asciiTheme="minorHAnsi" w:hAnsiTheme="minorHAnsi"/>
          <w:lang w:val="en-GB"/>
        </w:rPr>
        <w:t xml:space="preserve"> a hermeneutic approach to phenomenology and aims to explore experience by accessing the inner worlds of individuals as closely as possible, whilst also acknowledging the role of the researcher. In interpretative phenomenology the researcher is making sense of the participants’ own sense making, </w:t>
      </w:r>
      <w:r w:rsidRPr="00F85EE6">
        <w:rPr>
          <w:rFonts w:asciiTheme="minorHAnsi" w:hAnsiTheme="minorHAnsi"/>
          <w:lang w:val="en-GB"/>
        </w:rPr>
        <w:lastRenderedPageBreak/>
        <w:t>known as a double hermeneutic. IPA aims to provide insights into the experiences of individuals which can then be explored in relation to the extant literature. These may in turn provide starting points in the development of a more complete account of the experiences of individuals</w:t>
      </w:r>
      <w:r w:rsidR="00C343EB">
        <w:rPr>
          <w:rFonts w:asciiTheme="minorHAnsi" w:hAnsiTheme="minorHAnsi"/>
          <w:lang w:val="en-GB"/>
        </w:rPr>
        <w:t>.</w:t>
      </w:r>
      <w:r w:rsidRPr="00F85EE6">
        <w:rPr>
          <w:rFonts w:asciiTheme="minorHAnsi" w:hAnsiTheme="minorHAnsi"/>
          <w:lang w:val="en-GB"/>
        </w:rPr>
        <w:t xml:space="preserve"> </w:t>
      </w:r>
    </w:p>
    <w:p w:rsidR="009763D9" w:rsidRPr="00F85EE6" w:rsidRDefault="009763D9" w:rsidP="00F85EE6">
      <w:pPr>
        <w:spacing w:line="240" w:lineRule="auto"/>
        <w:jc w:val="both"/>
        <w:rPr>
          <w:rFonts w:asciiTheme="minorHAnsi" w:hAnsiTheme="minorHAnsi"/>
        </w:rPr>
      </w:pPr>
      <w:r w:rsidRPr="00F85EE6">
        <w:rPr>
          <w:rFonts w:asciiTheme="minorHAnsi" w:hAnsiTheme="minorHAnsi"/>
          <w:b/>
        </w:rPr>
        <w:t xml:space="preserve">Participants </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The participants were all people who had been living with mental health problems, including psychosis, for between one and 14 years, and who attended a community mental health day centre between one and three times a week. </w:t>
      </w:r>
      <w:r w:rsidR="003A140E" w:rsidRPr="00F85EE6">
        <w:rPr>
          <w:rFonts w:asciiTheme="minorHAnsi" w:hAnsiTheme="minorHAnsi"/>
        </w:rPr>
        <w:t xml:space="preserve">The researcher (first author) visited the day centre and presented the study in a community meeting.  This was </w:t>
      </w:r>
      <w:r w:rsidR="00DE7A63" w:rsidRPr="00F85EE6">
        <w:rPr>
          <w:rFonts w:asciiTheme="minorHAnsi" w:hAnsiTheme="minorHAnsi"/>
        </w:rPr>
        <w:t>supplemented</w:t>
      </w:r>
      <w:r w:rsidR="003A140E" w:rsidRPr="00F85EE6">
        <w:rPr>
          <w:rFonts w:asciiTheme="minorHAnsi" w:hAnsiTheme="minorHAnsi"/>
        </w:rPr>
        <w:t xml:space="preserve"> by information packs which contained the participant information sheets and consent forms. Subsequently </w:t>
      </w:r>
      <w:r w:rsidRPr="00F85EE6">
        <w:rPr>
          <w:rFonts w:asciiTheme="minorHAnsi" w:hAnsiTheme="minorHAnsi"/>
        </w:rPr>
        <w:t>people volunteered</w:t>
      </w:r>
      <w:r w:rsidR="003A140E" w:rsidRPr="00F85EE6">
        <w:rPr>
          <w:rFonts w:asciiTheme="minorHAnsi" w:hAnsiTheme="minorHAnsi"/>
        </w:rPr>
        <w:t>, via staff in the day centre</w:t>
      </w:r>
      <w:r w:rsidR="00DE7A63" w:rsidRPr="00F85EE6">
        <w:rPr>
          <w:rFonts w:asciiTheme="minorHAnsi" w:hAnsiTheme="minorHAnsi"/>
        </w:rPr>
        <w:t>, to</w:t>
      </w:r>
      <w:r w:rsidRPr="00F85EE6">
        <w:rPr>
          <w:rFonts w:asciiTheme="minorHAnsi" w:hAnsiTheme="minorHAnsi"/>
        </w:rPr>
        <w:t xml:space="preserve"> be interviewed up to three times over a period of 18 months. </w:t>
      </w:r>
      <w:r w:rsidR="006651D7" w:rsidRPr="00F85EE6">
        <w:rPr>
          <w:rFonts w:asciiTheme="minorHAnsi" w:hAnsiTheme="minorHAnsi"/>
        </w:rPr>
        <w:t xml:space="preserve">Table 1 gives relevant demographic details about the employment and service use histories of the 10 participants. It also shows how many interviews each participant gave. </w:t>
      </w:r>
    </w:p>
    <w:p w:rsidR="00B27E99" w:rsidRPr="00F85EE6" w:rsidRDefault="00F41A3A" w:rsidP="00F85EE6">
      <w:pPr>
        <w:spacing w:line="240" w:lineRule="auto"/>
        <w:jc w:val="both"/>
        <w:rPr>
          <w:rFonts w:asciiTheme="minorHAnsi" w:hAnsiTheme="minorHAnsi"/>
        </w:rPr>
      </w:pPr>
      <w:r>
        <w:rPr>
          <w:rFonts w:asciiTheme="minorHAnsi" w:hAnsiTheme="minorHAnsi"/>
        </w:rPr>
        <w:t xml:space="preserve">Pseudonyms have been used throughout to preserve the participants’ anonymity. One of the participants was previously known to the researcher; however confidentiality renders it inappropriate to identify this individual. All </w:t>
      </w:r>
      <w:r w:rsidR="00B27E99" w:rsidRPr="00F85EE6">
        <w:rPr>
          <w:rFonts w:asciiTheme="minorHAnsi" w:hAnsiTheme="minorHAnsi"/>
        </w:rPr>
        <w:t xml:space="preserve">of the </w:t>
      </w:r>
      <w:r>
        <w:rPr>
          <w:rFonts w:asciiTheme="minorHAnsi" w:hAnsiTheme="minorHAnsi"/>
        </w:rPr>
        <w:t>other participants</w:t>
      </w:r>
      <w:r w:rsidR="00B27E99" w:rsidRPr="00F85EE6">
        <w:rPr>
          <w:rFonts w:asciiTheme="minorHAnsi" w:hAnsiTheme="minorHAnsi"/>
        </w:rPr>
        <w:t xml:space="preserve"> were previously unknown to the researcher. </w:t>
      </w:r>
    </w:p>
    <w:p w:rsidR="009763D9" w:rsidRPr="00F85EE6" w:rsidRDefault="009763D9" w:rsidP="00F85EE6">
      <w:pPr>
        <w:spacing w:line="240" w:lineRule="auto"/>
        <w:jc w:val="both"/>
        <w:rPr>
          <w:rFonts w:asciiTheme="minorHAnsi" w:hAnsiTheme="minorHAnsi"/>
        </w:rPr>
      </w:pP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 xml:space="preserve">Data collection </w:t>
      </w:r>
    </w:p>
    <w:p w:rsidR="00F41A3A" w:rsidRDefault="009763D9" w:rsidP="00F85EE6">
      <w:pPr>
        <w:spacing w:line="240" w:lineRule="auto"/>
        <w:jc w:val="both"/>
        <w:rPr>
          <w:rFonts w:asciiTheme="minorHAnsi" w:hAnsiTheme="minorHAnsi"/>
        </w:rPr>
      </w:pPr>
      <w:r w:rsidRPr="00F85EE6">
        <w:rPr>
          <w:rFonts w:asciiTheme="minorHAnsi" w:hAnsiTheme="minorHAnsi"/>
        </w:rPr>
        <w:t xml:space="preserve">The participants were interviewed individually </w:t>
      </w:r>
      <w:r w:rsidR="00B27E99" w:rsidRPr="00F85EE6">
        <w:rPr>
          <w:rFonts w:asciiTheme="minorHAnsi" w:hAnsiTheme="minorHAnsi"/>
        </w:rPr>
        <w:t xml:space="preserve">by the first author, </w:t>
      </w:r>
      <w:r w:rsidRPr="00F85EE6">
        <w:rPr>
          <w:rFonts w:asciiTheme="minorHAnsi" w:hAnsiTheme="minorHAnsi"/>
        </w:rPr>
        <w:t>over a period of eighteen months at the mental health day centre which they attended. All ten participants were interviewed initially. Of the ten, eight agreed to have a second interview 6 months la</w:t>
      </w:r>
      <w:r w:rsidR="00C343EB">
        <w:rPr>
          <w:rFonts w:asciiTheme="minorHAnsi" w:hAnsiTheme="minorHAnsi"/>
        </w:rPr>
        <w:t>ter and four of them</w:t>
      </w:r>
      <w:r w:rsidRPr="00F85EE6">
        <w:rPr>
          <w:rFonts w:asciiTheme="minorHAnsi" w:hAnsiTheme="minorHAnsi"/>
        </w:rPr>
        <w:t xml:space="preserve"> agreed  to be interviewed for a third time. In all, 22 interviews were carried out with the 10 participants. </w:t>
      </w:r>
      <w:r w:rsidR="00F41A3A">
        <w:rPr>
          <w:rFonts w:asciiTheme="minorHAnsi" w:hAnsiTheme="minorHAnsi"/>
        </w:rPr>
        <w:t xml:space="preserve">Table 1 shows how many interviews each participant gave. </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In the first i</w:t>
      </w:r>
      <w:r w:rsidR="00C343EB">
        <w:rPr>
          <w:rFonts w:asciiTheme="minorHAnsi" w:hAnsiTheme="minorHAnsi"/>
        </w:rPr>
        <w:t>nterview participants were encouraged</w:t>
      </w:r>
      <w:r w:rsidRPr="00F85EE6">
        <w:rPr>
          <w:rFonts w:asciiTheme="minorHAnsi" w:hAnsiTheme="minorHAnsi"/>
        </w:rPr>
        <w:t xml:space="preserve"> to talk about their previous experiences of work, to describe any help they had received in preparing them to return to work and what working meant to them. Follow up or prompt questions were only asked to clarify points and to encourage the participants to speak at length and in detail about the meaning and experience of work. </w:t>
      </w:r>
    </w:p>
    <w:p w:rsidR="009763D9" w:rsidRPr="00F85EE6" w:rsidRDefault="00C343EB" w:rsidP="00F85EE6">
      <w:pPr>
        <w:spacing w:line="240" w:lineRule="auto"/>
        <w:jc w:val="both"/>
        <w:rPr>
          <w:rFonts w:asciiTheme="minorHAnsi" w:hAnsiTheme="minorHAnsi"/>
        </w:rPr>
      </w:pPr>
      <w:r>
        <w:rPr>
          <w:rFonts w:asciiTheme="minorHAnsi" w:hAnsiTheme="minorHAnsi"/>
        </w:rPr>
        <w:t>The second interview began by asking</w:t>
      </w:r>
      <w:r w:rsidR="009763D9" w:rsidRPr="00F85EE6">
        <w:rPr>
          <w:rFonts w:asciiTheme="minorHAnsi" w:hAnsiTheme="minorHAnsi"/>
        </w:rPr>
        <w:t xml:space="preserve"> </w:t>
      </w:r>
      <w:r w:rsidR="009763D9" w:rsidRPr="00F85EE6">
        <w:rPr>
          <w:rFonts w:asciiTheme="minorHAnsi" w:hAnsiTheme="minorHAnsi"/>
          <w:i/>
        </w:rPr>
        <w:t xml:space="preserve">‘How have things been in your world with regards work since we last met?’ </w:t>
      </w:r>
      <w:r w:rsidR="009763D9" w:rsidRPr="00F85EE6">
        <w:rPr>
          <w:rFonts w:asciiTheme="minorHAnsi" w:hAnsiTheme="minorHAnsi"/>
        </w:rPr>
        <w:t>This was followed by personalised prompt que</w:t>
      </w:r>
      <w:r>
        <w:rPr>
          <w:rFonts w:asciiTheme="minorHAnsi" w:hAnsiTheme="minorHAnsi"/>
        </w:rPr>
        <w:t xml:space="preserve">stions which were designed </w:t>
      </w:r>
      <w:r w:rsidR="009763D9" w:rsidRPr="00F85EE6">
        <w:rPr>
          <w:rFonts w:asciiTheme="minorHAnsi" w:hAnsiTheme="minorHAnsi"/>
        </w:rPr>
        <w:t>to enable the researcher to probe more deeply into the participants’ experiences since the previous meeting.</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The third interview offered the opportunity to follow up on themes </w:t>
      </w:r>
      <w:r w:rsidR="00C343EB">
        <w:rPr>
          <w:rFonts w:asciiTheme="minorHAnsi" w:hAnsiTheme="minorHAnsi"/>
        </w:rPr>
        <w:t>identified in preliminary data analysis</w:t>
      </w:r>
      <w:r w:rsidRPr="00F85EE6">
        <w:rPr>
          <w:rFonts w:asciiTheme="minorHAnsi" w:hAnsiTheme="minorHAnsi"/>
        </w:rPr>
        <w:t xml:space="preserve">. </w:t>
      </w:r>
      <w:r w:rsidR="00D31754" w:rsidRPr="00F85EE6">
        <w:rPr>
          <w:rFonts w:asciiTheme="minorHAnsi" w:hAnsiTheme="minorHAnsi"/>
        </w:rPr>
        <w:t xml:space="preserve">These were shared with the participants during the interviews, offering them the opportunity to comment on </w:t>
      </w:r>
      <w:r w:rsidR="00C343EB">
        <w:rPr>
          <w:rFonts w:asciiTheme="minorHAnsi" w:hAnsiTheme="minorHAnsi"/>
        </w:rPr>
        <w:t xml:space="preserve">and add to </w:t>
      </w:r>
      <w:r w:rsidR="00D31754" w:rsidRPr="00F85EE6">
        <w:rPr>
          <w:rFonts w:asciiTheme="minorHAnsi" w:hAnsiTheme="minorHAnsi"/>
        </w:rPr>
        <w:t xml:space="preserve">the analysis. </w:t>
      </w:r>
      <w:r w:rsidRPr="00F85EE6">
        <w:rPr>
          <w:rFonts w:asciiTheme="minorHAnsi" w:hAnsiTheme="minorHAnsi"/>
        </w:rPr>
        <w:t xml:space="preserve">The interviews, which lasted for between 30 and 90 minutes, were audio recorded and then transcribed verbatim. </w:t>
      </w:r>
    </w:p>
    <w:p w:rsidR="009763D9" w:rsidRPr="00F85EE6" w:rsidRDefault="009763D9" w:rsidP="00F85EE6">
      <w:pPr>
        <w:spacing w:line="240" w:lineRule="auto"/>
        <w:jc w:val="both"/>
        <w:rPr>
          <w:rFonts w:asciiTheme="minorHAnsi" w:hAnsiTheme="minorHAnsi"/>
          <w:b/>
        </w:rPr>
      </w:pP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Focus of analysis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lastRenderedPageBreak/>
        <w:t>The type of analysis used in an IPA is sometimes known as layered analysis. Dean, Smith and Payne (2006) liken this approach to analysis to peeling away the layers of an onion. An iterative ap</w:t>
      </w:r>
      <w:r w:rsidR="00C343EB">
        <w:rPr>
          <w:rFonts w:asciiTheme="minorHAnsi" w:hAnsiTheme="minorHAnsi"/>
        </w:rPr>
        <w:t>proach is taken</w:t>
      </w:r>
      <w:r w:rsidRPr="00F85EE6">
        <w:rPr>
          <w:rFonts w:asciiTheme="minorHAnsi" w:hAnsiTheme="minorHAnsi"/>
        </w:rPr>
        <w:t xml:space="preserve">, with each case explored separately first in an idiographic manner before moving to look for themes which are shared across cases. Analysis was undertaken by becoming immersed in each interview, listening to the recording, reading and re reading the transcript, looking for contradictions, echoes and amplifications, similarities and differences, use of language, and pieces of text which gave a sense of the person (Smith &amp; Osborne, 2008). All text was treated as data and no attempt was made to omit certain passages. </w:t>
      </w:r>
      <w:r w:rsidR="003A140E" w:rsidRPr="00F85EE6">
        <w:rPr>
          <w:rFonts w:asciiTheme="minorHAnsi" w:hAnsiTheme="minorHAnsi"/>
        </w:rPr>
        <w:t xml:space="preserve">The first author carried out the analysis, some of it in discussion with the second and third authors. </w:t>
      </w:r>
      <w:r w:rsidR="00C343EB">
        <w:rPr>
          <w:rFonts w:asciiTheme="minorHAnsi" w:hAnsiTheme="minorHAnsi"/>
        </w:rPr>
        <w:t>Participants in the third interviews had the opportunity to comment on the analysis. Their comments became part of the data.</w:t>
      </w:r>
    </w:p>
    <w:p w:rsidR="007328E9" w:rsidRPr="00F85EE6" w:rsidRDefault="009763D9" w:rsidP="00F85EE6">
      <w:pPr>
        <w:spacing w:line="240" w:lineRule="auto"/>
        <w:jc w:val="both"/>
        <w:rPr>
          <w:rFonts w:asciiTheme="minorHAnsi" w:hAnsiTheme="minorHAnsi"/>
          <w:caps/>
        </w:rPr>
      </w:pPr>
      <w:r w:rsidRPr="00F85EE6">
        <w:rPr>
          <w:rFonts w:asciiTheme="minorHAnsi" w:hAnsiTheme="minorHAnsi"/>
        </w:rPr>
        <w:t xml:space="preserve">The next stage was for themes to be clustered together. For example, all the initial themes from the interview with one participant  that pertained to her desire to work and the positive feelings it gave her were clustered under a theme labeled </w:t>
      </w:r>
      <w:r w:rsidRPr="00F85EE6">
        <w:rPr>
          <w:rFonts w:asciiTheme="minorHAnsi" w:hAnsiTheme="minorHAnsi"/>
          <w:b/>
          <w:i/>
        </w:rPr>
        <w:t>‘ the worker/wanted self’</w:t>
      </w:r>
      <w:r w:rsidRPr="00F85EE6">
        <w:rPr>
          <w:rFonts w:asciiTheme="minorHAnsi" w:hAnsiTheme="minorHAnsi"/>
        </w:rPr>
        <w:t xml:space="preserve">. Those initial themes that were connected with her mental health problems and feeling badly about herself, were clustered together and called </w:t>
      </w:r>
      <w:r w:rsidRPr="00F85EE6">
        <w:rPr>
          <w:rFonts w:asciiTheme="minorHAnsi" w:hAnsiTheme="minorHAnsi"/>
          <w:b/>
          <w:i/>
        </w:rPr>
        <w:t>‘the person with a mental health problem/unwanted self’</w:t>
      </w:r>
      <w:r w:rsidRPr="00F85EE6">
        <w:rPr>
          <w:rFonts w:asciiTheme="minorHAnsi" w:hAnsiTheme="minorHAnsi"/>
        </w:rPr>
        <w:t xml:space="preserve">. </w:t>
      </w:r>
      <w:r w:rsidR="007328E9" w:rsidRPr="00F85EE6">
        <w:rPr>
          <w:rFonts w:asciiTheme="minorHAnsi" w:hAnsiTheme="minorHAnsi"/>
        </w:rPr>
        <w:t>The themes derived from the</w:t>
      </w:r>
      <w:r w:rsidR="00C343EB">
        <w:rPr>
          <w:rFonts w:asciiTheme="minorHAnsi" w:hAnsiTheme="minorHAnsi"/>
        </w:rPr>
        <w:t xml:space="preserve">se interviews </w:t>
      </w:r>
      <w:r w:rsidR="007328E9" w:rsidRPr="00F85EE6">
        <w:rPr>
          <w:rFonts w:asciiTheme="minorHAnsi" w:hAnsiTheme="minorHAnsi"/>
        </w:rPr>
        <w:t xml:space="preserve">were all clustered under the overarching theme </w:t>
      </w:r>
      <w:r w:rsidR="007328E9" w:rsidRPr="00F85EE6">
        <w:rPr>
          <w:rFonts w:asciiTheme="minorHAnsi" w:hAnsiTheme="minorHAnsi"/>
          <w:b/>
          <w:i/>
          <w:iCs/>
        </w:rPr>
        <w:t xml:space="preserve">Building &amp; </w:t>
      </w:r>
      <w:proofErr w:type="gramStart"/>
      <w:r w:rsidR="007328E9" w:rsidRPr="00F85EE6">
        <w:rPr>
          <w:rFonts w:asciiTheme="minorHAnsi" w:hAnsiTheme="minorHAnsi"/>
          <w:b/>
          <w:i/>
          <w:iCs/>
        </w:rPr>
        <w:t>Maint</w:t>
      </w:r>
      <w:r w:rsidR="00C343EB">
        <w:rPr>
          <w:rFonts w:asciiTheme="minorHAnsi" w:hAnsiTheme="minorHAnsi"/>
          <w:b/>
          <w:i/>
          <w:iCs/>
        </w:rPr>
        <w:t>aining</w:t>
      </w:r>
      <w:proofErr w:type="gramEnd"/>
      <w:r w:rsidR="00C343EB">
        <w:rPr>
          <w:rFonts w:asciiTheme="minorHAnsi" w:hAnsiTheme="minorHAnsi"/>
          <w:b/>
          <w:i/>
          <w:iCs/>
        </w:rPr>
        <w:t xml:space="preserve"> an occupational identity </w:t>
      </w:r>
      <w:r w:rsidR="00C343EB">
        <w:rPr>
          <w:rFonts w:asciiTheme="minorHAnsi" w:hAnsiTheme="minorHAnsi"/>
          <w:iCs/>
        </w:rPr>
        <w:t>because they seemed to relate to how she saw herself.</w:t>
      </w:r>
      <w:r w:rsidR="007328E9" w:rsidRPr="00F85EE6">
        <w:rPr>
          <w:rFonts w:asciiTheme="minorHAnsi" w:hAnsiTheme="minorHAnsi"/>
          <w:b/>
          <w:i/>
          <w:iCs/>
        </w:rPr>
        <w:t xml:space="preserve"> </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Throughout the process of data analysis an attempt to adopt and maintain a phenomenological attitude </w:t>
      </w:r>
      <w:r w:rsidR="00110CEB" w:rsidRPr="00F85EE6">
        <w:rPr>
          <w:rFonts w:asciiTheme="minorHAnsi" w:hAnsiTheme="minorHAnsi"/>
        </w:rPr>
        <w:t xml:space="preserve">as recommended by </w:t>
      </w:r>
      <w:r w:rsidRPr="00F85EE6">
        <w:rPr>
          <w:rFonts w:asciiTheme="minorHAnsi" w:hAnsiTheme="minorHAnsi"/>
        </w:rPr>
        <w:t>Giorgi and Giorgi (2003) was pursued. The researcher’s disciplinary context is that of occupational therapist and this was to the forefront in remaining sensitive to the phenomena being explored. Just as the participants are inextricably linked with the world, so too, is the researcher. A reflexive self awareness is needed on the part of the researcher (</w:t>
      </w:r>
      <w:r w:rsidR="00D16775" w:rsidRPr="00F85EE6">
        <w:rPr>
          <w:rFonts w:asciiTheme="minorHAnsi" w:hAnsiTheme="minorHAnsi"/>
        </w:rPr>
        <w:t xml:space="preserve">Finlay &amp; Gough, </w:t>
      </w:r>
      <w:r w:rsidRPr="00F85EE6">
        <w:rPr>
          <w:rFonts w:asciiTheme="minorHAnsi" w:hAnsiTheme="minorHAnsi"/>
        </w:rPr>
        <w:t xml:space="preserve">2003) and a reflexive diary </w:t>
      </w:r>
      <w:r w:rsidR="00F41A3A">
        <w:rPr>
          <w:rFonts w:asciiTheme="minorHAnsi" w:hAnsiTheme="minorHAnsi"/>
        </w:rPr>
        <w:t xml:space="preserve">was employed to facilitate this, however it is beyond the scope of this paper to comment extensively on this. </w:t>
      </w:r>
    </w:p>
    <w:p w:rsidR="009763D9" w:rsidRPr="00F85EE6" w:rsidRDefault="009763D9" w:rsidP="00F85EE6">
      <w:pPr>
        <w:spacing w:line="240" w:lineRule="auto"/>
        <w:jc w:val="both"/>
        <w:rPr>
          <w:rFonts w:asciiTheme="minorHAnsi" w:hAnsiTheme="minorHAnsi"/>
        </w:rPr>
      </w:pP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Ethical considerations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Informed signed consent was obtained from each participant prior to commencing the first interview. The consent form assured the participants that their participation in the study and their data would be treated as confidential. Consent was then checked verbally at the start of subsequent interviews. </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The study was approved both by the University Research Ethics Committee, and by the local NHS research ethics committee (LREC).</w:t>
      </w:r>
    </w:p>
    <w:p w:rsidR="009763D9" w:rsidRPr="00F85EE6" w:rsidRDefault="009763D9" w:rsidP="00F85EE6">
      <w:pPr>
        <w:spacing w:line="240" w:lineRule="auto"/>
        <w:jc w:val="both"/>
        <w:rPr>
          <w:rFonts w:asciiTheme="minorHAnsi" w:hAnsiTheme="minorHAnsi"/>
        </w:rPr>
      </w:pP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Findings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Data analysis revealed two </w:t>
      </w:r>
      <w:r w:rsidR="00805539">
        <w:rPr>
          <w:rFonts w:asciiTheme="minorHAnsi" w:hAnsiTheme="minorHAnsi"/>
        </w:rPr>
        <w:t xml:space="preserve">overarching </w:t>
      </w:r>
      <w:r w:rsidRPr="00F85EE6">
        <w:rPr>
          <w:rFonts w:asciiTheme="minorHAnsi" w:hAnsiTheme="minorHAnsi"/>
        </w:rPr>
        <w:t xml:space="preserve">themes – </w:t>
      </w:r>
      <w:r w:rsidRPr="00F85EE6">
        <w:rPr>
          <w:rFonts w:asciiTheme="minorHAnsi" w:hAnsiTheme="minorHAnsi"/>
          <w:i/>
        </w:rPr>
        <w:t xml:space="preserve">Building &amp; Maintaining an occupational identity, </w:t>
      </w:r>
      <w:r w:rsidRPr="00F85EE6">
        <w:rPr>
          <w:rFonts w:asciiTheme="minorHAnsi" w:hAnsiTheme="minorHAnsi"/>
        </w:rPr>
        <w:t xml:space="preserve">and </w:t>
      </w:r>
      <w:r w:rsidRPr="00F85EE6">
        <w:rPr>
          <w:rFonts w:asciiTheme="minorHAnsi" w:hAnsiTheme="minorHAnsi"/>
          <w:i/>
        </w:rPr>
        <w:t xml:space="preserve">Work and other ways of belonging. </w:t>
      </w:r>
      <w:r w:rsidR="00276D4C">
        <w:rPr>
          <w:rFonts w:asciiTheme="minorHAnsi" w:hAnsiTheme="minorHAnsi"/>
        </w:rPr>
        <w:t xml:space="preserve">The themes are presented </w:t>
      </w:r>
      <w:r w:rsidRPr="00F85EE6">
        <w:rPr>
          <w:rFonts w:asciiTheme="minorHAnsi" w:hAnsiTheme="minorHAnsi"/>
        </w:rPr>
        <w:t xml:space="preserve">in order of prevalence across participants, supported by excerpts from the interview transcripts. This </w:t>
      </w:r>
      <w:r w:rsidRPr="00F85EE6">
        <w:rPr>
          <w:rFonts w:asciiTheme="minorHAnsi" w:hAnsiTheme="minorHAnsi"/>
        </w:rPr>
        <w:lastRenderedPageBreak/>
        <w:t>allows the voices of the participants to be heard and the reader to discern how</w:t>
      </w:r>
      <w:r w:rsidR="00E040DB">
        <w:rPr>
          <w:rFonts w:asciiTheme="minorHAnsi" w:hAnsiTheme="minorHAnsi"/>
        </w:rPr>
        <w:t xml:space="preserve"> the researcher derived her</w:t>
      </w:r>
      <w:r w:rsidR="00F41A3A">
        <w:rPr>
          <w:rFonts w:asciiTheme="minorHAnsi" w:hAnsiTheme="minorHAnsi"/>
        </w:rPr>
        <w:t xml:space="preserve"> interpretations.</w:t>
      </w: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Building &amp; maintaining an occupational identity</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Participants presented accounts which were concerned both with past identities as workers and future, hoped-for identities, both as workers and in other spheres of their lives. Some of the participants described ways in which they had developed new means to express themselves through engagement in non work occupations; others presented accounts that were concerned with finding or constructing new identities alongside illness. Central to the concept of occupation conferring identity was an existenti</w:t>
      </w:r>
      <w:r w:rsidR="00805539">
        <w:rPr>
          <w:rFonts w:asciiTheme="minorHAnsi" w:hAnsiTheme="minorHAnsi"/>
        </w:rPr>
        <w:t>al concern connected with occupational engagement -</w:t>
      </w:r>
      <w:r w:rsidRPr="00F85EE6">
        <w:rPr>
          <w:rFonts w:asciiTheme="minorHAnsi" w:hAnsiTheme="minorHAnsi"/>
        </w:rPr>
        <w:t xml:space="preserve"> </w:t>
      </w:r>
    </w:p>
    <w:p w:rsidR="009763D9" w:rsidRPr="00F85EE6" w:rsidRDefault="009763D9" w:rsidP="00F85EE6">
      <w:pPr>
        <w:spacing w:line="240" w:lineRule="auto"/>
        <w:jc w:val="both"/>
        <w:rPr>
          <w:rFonts w:asciiTheme="minorHAnsi" w:hAnsiTheme="minorHAnsi"/>
          <w:i/>
        </w:rPr>
      </w:pPr>
      <w:r w:rsidRPr="00F85EE6">
        <w:rPr>
          <w:rFonts w:asciiTheme="minorHAnsi" w:hAnsiTheme="minorHAnsi"/>
          <w:i/>
        </w:rPr>
        <w:t>Unless you have some kind of occupation you don’t really exist at all do you in society or as an individual?  You’re just nobody in a sense aren’t you?  (Chris)</w:t>
      </w:r>
    </w:p>
    <w:p w:rsidR="00690532" w:rsidRDefault="009763D9" w:rsidP="00F85EE6">
      <w:pPr>
        <w:spacing w:line="240" w:lineRule="auto"/>
        <w:jc w:val="both"/>
        <w:rPr>
          <w:rFonts w:asciiTheme="minorHAnsi" w:hAnsiTheme="minorHAnsi"/>
        </w:rPr>
      </w:pPr>
      <w:r w:rsidRPr="00F85EE6">
        <w:rPr>
          <w:rFonts w:asciiTheme="minorHAnsi" w:hAnsiTheme="minorHAnsi"/>
        </w:rPr>
        <w:t xml:space="preserve">Chris used the word </w:t>
      </w:r>
      <w:r w:rsidRPr="00F85EE6">
        <w:rPr>
          <w:rFonts w:asciiTheme="minorHAnsi" w:hAnsiTheme="minorHAnsi"/>
          <w:i/>
        </w:rPr>
        <w:t>‘occupation’</w:t>
      </w:r>
      <w:r w:rsidRPr="00F85EE6">
        <w:rPr>
          <w:rFonts w:asciiTheme="minorHAnsi" w:hAnsiTheme="minorHAnsi"/>
        </w:rPr>
        <w:t xml:space="preserve"> in this context to mean a paid job. </w:t>
      </w:r>
      <w:r w:rsidR="00E040DB">
        <w:rPr>
          <w:rFonts w:asciiTheme="minorHAnsi" w:hAnsiTheme="minorHAnsi"/>
        </w:rPr>
        <w:t>However a r</w:t>
      </w:r>
      <w:r w:rsidRPr="00F85EE6">
        <w:rPr>
          <w:rFonts w:asciiTheme="minorHAnsi" w:hAnsiTheme="minorHAnsi"/>
        </w:rPr>
        <w:t xml:space="preserve">eading </w:t>
      </w:r>
      <w:r w:rsidR="00E040DB">
        <w:rPr>
          <w:rFonts w:asciiTheme="minorHAnsi" w:hAnsiTheme="minorHAnsi"/>
        </w:rPr>
        <w:t xml:space="preserve">of </w:t>
      </w:r>
      <w:r w:rsidRPr="00F85EE6">
        <w:rPr>
          <w:rFonts w:asciiTheme="minorHAnsi" w:hAnsiTheme="minorHAnsi"/>
        </w:rPr>
        <w:t>Chris’s state</w:t>
      </w:r>
      <w:r w:rsidR="00E040DB">
        <w:rPr>
          <w:rFonts w:asciiTheme="minorHAnsi" w:hAnsiTheme="minorHAnsi"/>
        </w:rPr>
        <w:t>ment above from an occupational standpoint</w:t>
      </w:r>
      <w:r w:rsidRPr="00F85EE6">
        <w:rPr>
          <w:rFonts w:asciiTheme="minorHAnsi" w:hAnsiTheme="minorHAnsi"/>
        </w:rPr>
        <w:t xml:space="preserve"> implies that without occupation a person is a non</w:t>
      </w:r>
      <w:r w:rsidR="00E040DB">
        <w:rPr>
          <w:rFonts w:asciiTheme="minorHAnsi" w:hAnsiTheme="minorHAnsi"/>
        </w:rPr>
        <w:t xml:space="preserve"> </w:t>
      </w:r>
      <w:r w:rsidRPr="00F85EE6">
        <w:rPr>
          <w:rFonts w:asciiTheme="minorHAnsi" w:hAnsiTheme="minorHAnsi"/>
        </w:rPr>
        <w:t>entity.</w:t>
      </w:r>
      <w:r w:rsidRPr="00F85EE6">
        <w:rPr>
          <w:rFonts w:asciiTheme="minorHAnsi" w:hAnsiTheme="minorHAnsi"/>
          <w:i/>
        </w:rPr>
        <w:t xml:space="preserve"> </w:t>
      </w:r>
      <w:r w:rsidRPr="00F85EE6">
        <w:rPr>
          <w:rFonts w:asciiTheme="minorHAnsi" w:hAnsiTheme="minorHAnsi"/>
        </w:rPr>
        <w:t>This interpretation of the importance Chris attached to occupation as a way of conferring existence powerfully illustrates the centrality of occupations</w:t>
      </w:r>
      <w:r w:rsidR="00E040DB">
        <w:rPr>
          <w:rFonts w:asciiTheme="minorHAnsi" w:hAnsiTheme="minorHAnsi"/>
        </w:rPr>
        <w:t xml:space="preserve"> </w:t>
      </w:r>
      <w:r w:rsidRPr="00F85EE6">
        <w:rPr>
          <w:rFonts w:asciiTheme="minorHAnsi" w:hAnsiTheme="minorHAnsi"/>
        </w:rPr>
        <w:t xml:space="preserve">in the lives of the participants and the critical need to engage in occupations in order feel alive and recognized as a fellow citizen. </w:t>
      </w:r>
      <w:r w:rsidR="00E040DB">
        <w:rPr>
          <w:rFonts w:asciiTheme="minorHAnsi" w:hAnsiTheme="minorHAnsi"/>
        </w:rPr>
        <w:t>Further evidence for this interpretation is presented in another except from one of the interviews wit</w:t>
      </w:r>
      <w:r w:rsidR="00690532">
        <w:rPr>
          <w:rFonts w:asciiTheme="minorHAnsi" w:hAnsiTheme="minorHAnsi"/>
        </w:rPr>
        <w:t xml:space="preserve">h Chris, when he said </w:t>
      </w:r>
    </w:p>
    <w:p w:rsidR="00690532" w:rsidRPr="00F85EE6" w:rsidRDefault="00690532" w:rsidP="00F85EE6">
      <w:pPr>
        <w:spacing w:line="240" w:lineRule="auto"/>
        <w:jc w:val="both"/>
        <w:rPr>
          <w:rFonts w:asciiTheme="minorHAnsi" w:hAnsiTheme="minorHAnsi"/>
        </w:rPr>
      </w:pPr>
      <w:r w:rsidRPr="00F85EE6">
        <w:rPr>
          <w:rFonts w:asciiTheme="minorHAnsi" w:hAnsiTheme="minorHAnsi"/>
          <w:i/>
        </w:rPr>
        <w:t xml:space="preserve">I mean a lot of people who are signed off </w:t>
      </w:r>
      <w:r>
        <w:rPr>
          <w:rFonts w:asciiTheme="minorHAnsi" w:hAnsiTheme="minorHAnsi"/>
          <w:i/>
        </w:rPr>
        <w:t xml:space="preserve">[work] </w:t>
      </w:r>
      <w:r w:rsidRPr="00F85EE6">
        <w:rPr>
          <w:rFonts w:asciiTheme="minorHAnsi" w:hAnsiTheme="minorHAnsi"/>
          <w:i/>
        </w:rPr>
        <w:t>just do nothing at all. I don’t quite understand how they justify their existence to themselves … I mean who are they in a sense … who are you is a lot to do with what you do isn’t it?</w:t>
      </w:r>
      <w:r w:rsidRPr="00F85EE6">
        <w:rPr>
          <w:rFonts w:asciiTheme="minorHAnsi" w:hAnsiTheme="minorHAnsi"/>
        </w:rPr>
        <w:t xml:space="preserve"> (Chris)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As none of the participants were in paid work at the time of the study and did not have access to the ‘shorthand’ identity of their job title, many seemed to find meaning in non work occupations. Those occupations that had been part of their lives for many years seemed to have particular potency for conferring a sense of identity, as well as a way of making sense of illness. One participant, Matt, who had been a carpenter and joiner in his working life and who had been a wood carver in his leisure time for many years, considered himself to be an artist. This way of un</w:t>
      </w:r>
      <w:r w:rsidR="00690532">
        <w:rPr>
          <w:rFonts w:asciiTheme="minorHAnsi" w:hAnsiTheme="minorHAnsi"/>
        </w:rPr>
        <w:t xml:space="preserve">derstanding himself and mental </w:t>
      </w:r>
      <w:r w:rsidRPr="00F85EE6">
        <w:rPr>
          <w:rFonts w:asciiTheme="minorHAnsi" w:hAnsiTheme="minorHAnsi"/>
        </w:rPr>
        <w:t xml:space="preserve"> illness</w:t>
      </w:r>
      <w:r w:rsidR="00690532">
        <w:rPr>
          <w:rFonts w:asciiTheme="minorHAnsi" w:hAnsiTheme="minorHAnsi"/>
        </w:rPr>
        <w:t xml:space="preserve"> ( he referred to </w:t>
      </w:r>
      <w:r w:rsidRPr="00F85EE6">
        <w:rPr>
          <w:rFonts w:asciiTheme="minorHAnsi" w:hAnsiTheme="minorHAnsi"/>
        </w:rPr>
        <w:t xml:space="preserve"> </w:t>
      </w:r>
      <w:r w:rsidR="00690532">
        <w:rPr>
          <w:rFonts w:asciiTheme="minorHAnsi" w:hAnsiTheme="minorHAnsi"/>
        </w:rPr>
        <w:t xml:space="preserve">famous artists, such as Van Gogh, who had mental health problems)  </w:t>
      </w:r>
      <w:r w:rsidRPr="00F85EE6">
        <w:rPr>
          <w:rFonts w:asciiTheme="minorHAnsi" w:hAnsiTheme="minorHAnsi"/>
        </w:rPr>
        <w:t xml:space="preserve">offered a means to make sense of his experiences from his perspective as an artist, at the same time confirming his identity as artist - </w:t>
      </w:r>
    </w:p>
    <w:p w:rsidR="009763D9" w:rsidRDefault="009763D9" w:rsidP="00F85EE6">
      <w:pPr>
        <w:spacing w:line="240" w:lineRule="auto"/>
        <w:jc w:val="both"/>
        <w:rPr>
          <w:rFonts w:asciiTheme="minorHAnsi" w:hAnsiTheme="minorHAnsi"/>
        </w:rPr>
      </w:pPr>
      <w:r w:rsidRPr="00F85EE6">
        <w:rPr>
          <w:rFonts w:asciiTheme="minorHAnsi" w:hAnsiTheme="minorHAnsi"/>
          <w:i/>
        </w:rPr>
        <w:t>…I think there’s quite a lot of artists have these sort of problems [mental health problems].  As I said the man I worked for… he had a breakdown in his 60s</w:t>
      </w:r>
      <w:r w:rsidRPr="00F85EE6">
        <w:rPr>
          <w:rFonts w:asciiTheme="minorHAnsi" w:hAnsiTheme="minorHAnsi"/>
        </w:rPr>
        <w:t xml:space="preserve">.  (Matt) </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For many of the participants </w:t>
      </w:r>
      <w:r w:rsidR="00690532">
        <w:rPr>
          <w:rFonts w:asciiTheme="minorHAnsi" w:hAnsiTheme="minorHAnsi"/>
        </w:rPr>
        <w:t xml:space="preserve">stopping work and their </w:t>
      </w:r>
      <w:r w:rsidRPr="00F85EE6">
        <w:rPr>
          <w:rFonts w:asciiTheme="minorHAnsi" w:hAnsiTheme="minorHAnsi"/>
        </w:rPr>
        <w:t>first episode of mental illness</w:t>
      </w:r>
      <w:r w:rsidR="00690532">
        <w:rPr>
          <w:rFonts w:asciiTheme="minorHAnsi" w:hAnsiTheme="minorHAnsi"/>
        </w:rPr>
        <w:t xml:space="preserve"> coincided. T</w:t>
      </w:r>
      <w:r w:rsidRPr="00F85EE6">
        <w:rPr>
          <w:rFonts w:asciiTheme="minorHAnsi" w:hAnsiTheme="minorHAnsi"/>
        </w:rPr>
        <w:t xml:space="preserve">hey offered vivid accounts of the </w:t>
      </w:r>
      <w:r w:rsidR="00690532">
        <w:rPr>
          <w:rFonts w:asciiTheme="minorHAnsi" w:hAnsiTheme="minorHAnsi"/>
        </w:rPr>
        <w:t xml:space="preserve">sometimes shattering </w:t>
      </w:r>
      <w:r w:rsidRPr="00F85EE6">
        <w:rPr>
          <w:rFonts w:asciiTheme="minorHAnsi" w:hAnsiTheme="minorHAnsi"/>
        </w:rPr>
        <w:t xml:space="preserve">impact of their experiences on their lives and their sense of self - </w:t>
      </w:r>
    </w:p>
    <w:p w:rsidR="009763D9" w:rsidRPr="00F85EE6" w:rsidRDefault="009763D9" w:rsidP="00F85EE6">
      <w:pPr>
        <w:spacing w:line="240" w:lineRule="auto"/>
        <w:jc w:val="both"/>
        <w:rPr>
          <w:rFonts w:asciiTheme="minorHAnsi" w:hAnsiTheme="minorHAnsi"/>
          <w:i/>
        </w:rPr>
      </w:pPr>
      <w:r w:rsidRPr="00F85EE6">
        <w:rPr>
          <w:rFonts w:asciiTheme="minorHAnsi" w:hAnsiTheme="minorHAnsi"/>
          <w:i/>
        </w:rPr>
        <w:t xml:space="preserve">I think I was just destroyed really...everything was in bits really, and I’ve sort of rebuilt myself up </w:t>
      </w:r>
      <w:r w:rsidRPr="00F85EE6">
        <w:rPr>
          <w:rFonts w:asciiTheme="minorHAnsi" w:hAnsiTheme="minorHAnsi"/>
        </w:rPr>
        <w:t>(Ian)</w:t>
      </w:r>
      <w:r w:rsidRPr="00F85EE6">
        <w:rPr>
          <w:rFonts w:asciiTheme="minorHAnsi" w:hAnsiTheme="minorHAnsi"/>
          <w:i/>
        </w:rPr>
        <w:t xml:space="preserve"> </w:t>
      </w:r>
    </w:p>
    <w:p w:rsidR="009763D9" w:rsidRPr="00F85EE6" w:rsidRDefault="00805539" w:rsidP="00F85EE6">
      <w:pPr>
        <w:spacing w:line="240" w:lineRule="auto"/>
        <w:jc w:val="both"/>
        <w:rPr>
          <w:rFonts w:asciiTheme="minorHAnsi" w:hAnsiTheme="minorHAnsi"/>
        </w:rPr>
      </w:pPr>
      <w:r>
        <w:rPr>
          <w:rFonts w:asciiTheme="minorHAnsi" w:hAnsiTheme="minorHAnsi"/>
        </w:rPr>
        <w:lastRenderedPageBreak/>
        <w:t xml:space="preserve">In this extract, taken from his third interview, Chris commented on some initial data analysis which introduced the concept of occupational identity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I don’t think that occupational identity is whole identity you see. I mean in a sense … because I mean if the work you’ve done in your life … you don’t know [name of another person at the day centre]… but he used to work in a garage fitting exhausts to cars. Now occupational identity … I mean it’s a job isn’t it, and it’s useful, but you might not feel too great about yourself if you thought that that was all there was to you, you see</w:t>
      </w:r>
      <w:r w:rsidRPr="00F85EE6">
        <w:rPr>
          <w:rFonts w:asciiTheme="minorHAnsi" w:hAnsiTheme="minorHAnsi"/>
        </w:rPr>
        <w:t xml:space="preserve"> (Chris)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Some participants reflected on the impact on their identity of their role as people who used mental health services, or as a ‘psychiatric patient’. Two participants in particular offered accounts that were suggestive of a need to integrate the mental health user self, or to construct a new identity to replace a previous problematic identity. The participant who had previously been a teacher wished to recast himself as a self employed gardener and saw both the clothing and tools that went with this new identity as significant in building a new self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I want as much as anything to have a van, have all the petrol gadgets, tools. You know this is completely different to being a teacher</w:t>
      </w:r>
      <w:r w:rsidRPr="00F85EE6">
        <w:rPr>
          <w:rFonts w:asciiTheme="minorHAnsi" w:hAnsiTheme="minorHAnsi"/>
        </w:rPr>
        <w:t xml:space="preserve"> (Ian)</w:t>
      </w:r>
    </w:p>
    <w:p w:rsidR="009763D9" w:rsidRPr="00F85EE6" w:rsidRDefault="00817222" w:rsidP="00F85EE6">
      <w:pPr>
        <w:spacing w:line="240" w:lineRule="auto"/>
        <w:jc w:val="both"/>
        <w:rPr>
          <w:rFonts w:asciiTheme="minorHAnsi" w:hAnsiTheme="minorHAnsi"/>
        </w:rPr>
      </w:pPr>
      <w:r>
        <w:rPr>
          <w:rFonts w:asciiTheme="minorHAnsi" w:hAnsiTheme="minorHAnsi"/>
        </w:rPr>
        <w:t>T</w:t>
      </w:r>
      <w:r w:rsidR="009763D9" w:rsidRPr="00F85EE6">
        <w:rPr>
          <w:rFonts w:asciiTheme="minorHAnsi" w:hAnsiTheme="minorHAnsi"/>
        </w:rPr>
        <w:t xml:space="preserve">he tools of his newly adopted trade </w:t>
      </w:r>
      <w:r>
        <w:rPr>
          <w:rFonts w:asciiTheme="minorHAnsi" w:hAnsiTheme="minorHAnsi"/>
        </w:rPr>
        <w:t xml:space="preserve">were </w:t>
      </w:r>
      <w:r w:rsidR="009763D9" w:rsidRPr="00F85EE6">
        <w:rPr>
          <w:rFonts w:asciiTheme="minorHAnsi" w:hAnsiTheme="minorHAnsi"/>
        </w:rPr>
        <w:t>the visible signs of his new id</w:t>
      </w:r>
      <w:r>
        <w:rPr>
          <w:rFonts w:asciiTheme="minorHAnsi" w:hAnsiTheme="minorHAnsi"/>
        </w:rPr>
        <w:t>entity. They</w:t>
      </w:r>
      <w:r w:rsidR="009763D9" w:rsidRPr="00F85EE6">
        <w:rPr>
          <w:rFonts w:asciiTheme="minorHAnsi" w:hAnsiTheme="minorHAnsi"/>
        </w:rPr>
        <w:t xml:space="preserve"> could also represent a strong and masculine identity that perhaps he felt he needed to reassert following a period of being very vulnerable as a result of his mental health problems.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Another participant spoke of using his experience as a mental health service user to deliver training to staff in hospitals and students on health education programmes. His account suggested that he saw this integration of his experience as a means to getting back into the workplace and earning the respect and validation that went with working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All my working career, when I was paid, have been jobs that haven’t required much input mentally – driving and cleaning and working in factories. They’ve been for want of a better phrase ‘donkey work’.  The only jobs or things that I’ve done that have stimulated my head have been … voluntary work or presentations and such like – working with the user group [a local group of mental health service users which provided training and research] and such like.  Because those things have drawn from my experience, my life, I feel I’ve got some expertise to offer back to them.  I’m respected as an expert… (</w:t>
      </w:r>
      <w:r w:rsidRPr="00F85EE6">
        <w:rPr>
          <w:rFonts w:asciiTheme="minorHAnsi" w:hAnsiTheme="minorHAnsi"/>
        </w:rPr>
        <w:t>John)</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Another approach to managing the user identity was offered by a participant who had been an office clerk and who seemed to still stron</w:t>
      </w:r>
      <w:r w:rsidR="00817222">
        <w:rPr>
          <w:rFonts w:asciiTheme="minorHAnsi" w:hAnsiTheme="minorHAnsi"/>
        </w:rPr>
        <w:t xml:space="preserve">gly identify with his old role, even though he had been very unhappy in his working life - </w:t>
      </w:r>
      <w:r w:rsidRPr="00F85EE6">
        <w:rPr>
          <w:rFonts w:asciiTheme="minorHAnsi" w:hAnsiTheme="minorHAnsi"/>
        </w:rPr>
        <w:t xml:space="preserve">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 xml:space="preserve">...even though I’m not working you see I’m still an office clerk.  I may not be working, but I’m still an office clerk…I don’t think of myself really as a career psychiatric patient or as ‘being’ inverted commas a ’psychiatric patient’, it’s just … yeah I’m a retired clerk I suppose is what I am. I mean obviously in a sense yes I’m a psychiatric patient because I see the psychiatrist, but I’m not sort of intrinsically a psychiatric patient or 100% a psychiatric patient </w:t>
      </w:r>
      <w:proofErr w:type="spellStart"/>
      <w:r w:rsidRPr="00F85EE6">
        <w:rPr>
          <w:rFonts w:asciiTheme="minorHAnsi" w:hAnsiTheme="minorHAnsi"/>
          <w:i/>
        </w:rPr>
        <w:t>cos</w:t>
      </w:r>
      <w:proofErr w:type="spellEnd"/>
      <w:r w:rsidRPr="00F85EE6">
        <w:rPr>
          <w:rFonts w:asciiTheme="minorHAnsi" w:hAnsiTheme="minorHAnsi"/>
          <w:i/>
        </w:rPr>
        <w:t xml:space="preserve"> I’m capable of doing a lot of other things you see</w:t>
      </w:r>
      <w:r w:rsidRPr="00F85EE6">
        <w:rPr>
          <w:rFonts w:asciiTheme="minorHAnsi" w:hAnsiTheme="minorHAnsi"/>
        </w:rPr>
        <w:t xml:space="preserve"> (Chris)</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lastRenderedPageBreak/>
        <w:t xml:space="preserve">Chris’ rejection of an identity as a psychiatric patient is powerfully illustrated by his repeated statement of the case. Occupations that were not paid work also seemed important for providing a consonant sense of self identity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I mean I get a lot of fun out of doing these things [his non-work occupations]. And on the one hand you get the same satisfaction as you do out of work, about doing a job well, but with less of the stress and aggravation that you have in work…</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This theme has highlighted importance attached to having something meaningful to do in order to confirm one’s own existence to oneself and to other people, and the myriad ways in which the participants in the study used engagement in various occupations as a means to construct a sense of self in the absence of paid work. The theme also conveys something of the ways in which the participants sought to manage their experiences of using mental health services, to show that there was more to their lives than using mental health services. Additionally, the theme captures the ways in which the participants were able to manage their identities and self presentation to others by rejecting the patient role or by using their mental health experiences in positive ways. </w:t>
      </w: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Work and other ways of belonging</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Besides a strong emphasis on ‘doing’</w:t>
      </w:r>
      <w:r w:rsidR="00276D4C">
        <w:rPr>
          <w:rFonts w:asciiTheme="minorHAnsi" w:hAnsiTheme="minorHAnsi"/>
        </w:rPr>
        <w:t xml:space="preserve"> (Wilcock, 1998)</w:t>
      </w:r>
      <w:r w:rsidRPr="00F85EE6">
        <w:rPr>
          <w:rFonts w:asciiTheme="minorHAnsi" w:hAnsiTheme="minorHAnsi"/>
        </w:rPr>
        <w:t>, the participants’ accounts held very strong representations of the desire to feel a sense of connectedness to other people, with work being perceived as a potent way to feel part of society – ‘belonging’</w:t>
      </w:r>
      <w:r w:rsidR="00276D4C">
        <w:rPr>
          <w:rFonts w:asciiTheme="minorHAnsi" w:hAnsiTheme="minorHAnsi"/>
        </w:rPr>
        <w:t xml:space="preserve"> (Wilcock,1998)</w:t>
      </w:r>
      <w:r w:rsidRPr="00F85EE6">
        <w:rPr>
          <w:rFonts w:asciiTheme="minorHAnsi" w:hAnsiTheme="minorHAnsi"/>
        </w:rPr>
        <w:t xml:space="preserve">. Even though many of the participants had recounted very painful and traumatic work experiences, where at times they had felt isolated and unhappy, they still seemed to view work as a route to feeling included in the world. Some of the participants saw work as offering a way of providing themselves with a social network, which enabled a sense of belonging, of feeling connected to others, being included and being ‘normal’ – </w:t>
      </w:r>
    </w:p>
    <w:p w:rsidR="009763D9" w:rsidRPr="00F85EE6" w:rsidRDefault="009763D9" w:rsidP="00F85EE6">
      <w:pPr>
        <w:spacing w:line="240" w:lineRule="auto"/>
        <w:jc w:val="both"/>
        <w:rPr>
          <w:rFonts w:asciiTheme="minorHAnsi" w:hAnsiTheme="minorHAnsi"/>
          <w:iCs/>
        </w:rPr>
      </w:pPr>
      <w:r w:rsidRPr="00F85EE6">
        <w:rPr>
          <w:rFonts w:asciiTheme="minorHAnsi" w:hAnsiTheme="minorHAnsi"/>
          <w:i/>
        </w:rPr>
        <w:t>…</w:t>
      </w:r>
      <w:r w:rsidRPr="00F85EE6">
        <w:rPr>
          <w:rFonts w:asciiTheme="minorHAnsi" w:hAnsiTheme="minorHAnsi"/>
          <w:i/>
          <w:iCs/>
        </w:rPr>
        <w:t>there are some days when I think ‘Oh, can I get a job and be like everybody else and go to college and study’, or something like that</w:t>
      </w:r>
      <w:r w:rsidRPr="00F85EE6">
        <w:rPr>
          <w:rFonts w:asciiTheme="minorHAnsi" w:hAnsiTheme="minorHAnsi"/>
          <w:iCs/>
        </w:rPr>
        <w:t xml:space="preserve"> (Anne)</w:t>
      </w:r>
    </w:p>
    <w:p w:rsidR="009763D9" w:rsidRPr="00F85EE6" w:rsidRDefault="009763D9" w:rsidP="00F85EE6">
      <w:pPr>
        <w:spacing w:line="240" w:lineRule="auto"/>
        <w:jc w:val="both"/>
        <w:rPr>
          <w:rFonts w:asciiTheme="minorHAnsi" w:hAnsiTheme="minorHAnsi"/>
          <w:iCs/>
        </w:rPr>
      </w:pPr>
      <w:r w:rsidRPr="00F85EE6">
        <w:rPr>
          <w:rFonts w:asciiTheme="minorHAnsi" w:hAnsiTheme="minorHAnsi"/>
          <w:iCs/>
        </w:rPr>
        <w:t xml:space="preserve">This extract illustrates the way in which some of the participants equated working with fitting in, which suggested there might be a converse position of experiencing </w:t>
      </w:r>
      <w:r w:rsidRPr="00F85EE6">
        <w:rPr>
          <w:rFonts w:asciiTheme="minorHAnsi" w:hAnsiTheme="minorHAnsi"/>
        </w:rPr>
        <w:t xml:space="preserve">painful feelings of not belonging if not working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You sort of feel in your head that you’re a bit weird or a bit different and [you] don’t want to feel like you don’t fit in or you’re weird or something</w:t>
      </w:r>
      <w:r w:rsidRPr="00F85EE6">
        <w:rPr>
          <w:rFonts w:asciiTheme="minorHAnsi" w:hAnsiTheme="minorHAnsi"/>
        </w:rPr>
        <w:t xml:space="preserve"> (Stella)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I just feel that I’m not part of the … part of the herd you know.  It’s a bit like everybody else going off to war and I’m the one that’s not going off to war, you know</w:t>
      </w:r>
      <w:r w:rsidRPr="00F85EE6">
        <w:rPr>
          <w:rFonts w:asciiTheme="minorHAnsi" w:hAnsiTheme="minorHAnsi"/>
        </w:rPr>
        <w:t xml:space="preserve"> (John)</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These extracts</w:t>
      </w:r>
      <w:r w:rsidR="00817222">
        <w:rPr>
          <w:rFonts w:asciiTheme="minorHAnsi" w:hAnsiTheme="minorHAnsi"/>
        </w:rPr>
        <w:t xml:space="preserve"> from the interviews with </w:t>
      </w:r>
      <w:r w:rsidRPr="00F85EE6">
        <w:rPr>
          <w:rFonts w:asciiTheme="minorHAnsi" w:hAnsiTheme="minorHAnsi"/>
        </w:rPr>
        <w:t xml:space="preserve">Stella and John strongly suggest the excluded, left behind feelings that arose as a result of not being in paid work. Further interpretation of John’s statement, likening working with going to war, is suggestive of how difficult and dangerous work could be but that it was, nevertheless, something he did not want to be left out of. </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The converse position, being employed and hence connected, produced largely positive responses from the majority of the participants and was described with feeling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lastRenderedPageBreak/>
        <w:t>… Work’s not just about money, it’s … about relationships, it’s about place in the community, it’s about well-being, and it’s about a feeling of satisfaction, a feeling that you’ve done this</w:t>
      </w:r>
      <w:r w:rsidRPr="00F85EE6">
        <w:rPr>
          <w:rFonts w:asciiTheme="minorHAnsi" w:hAnsiTheme="minorHAnsi"/>
        </w:rPr>
        <w:t>. (John)</w:t>
      </w:r>
    </w:p>
    <w:p w:rsidR="009763D9" w:rsidRPr="00F85EE6" w:rsidRDefault="00817222" w:rsidP="00F85EE6">
      <w:pPr>
        <w:spacing w:line="240" w:lineRule="auto"/>
        <w:jc w:val="both"/>
        <w:rPr>
          <w:rFonts w:asciiTheme="minorHAnsi" w:hAnsiTheme="minorHAnsi"/>
        </w:rPr>
      </w:pPr>
      <w:r>
        <w:rPr>
          <w:rFonts w:asciiTheme="minorHAnsi" w:hAnsiTheme="minorHAnsi"/>
        </w:rPr>
        <w:t xml:space="preserve">Participants </w:t>
      </w:r>
      <w:r w:rsidR="009763D9" w:rsidRPr="00F85EE6">
        <w:rPr>
          <w:rFonts w:asciiTheme="minorHAnsi" w:hAnsiTheme="minorHAnsi"/>
        </w:rPr>
        <w:t xml:space="preserve">found the engagement in non work occupations important in instilling a sense of belonging and these included a keep fit class, being part of a family, doing voluntary work, and attending the mental health day centre. One of the participants described belonging at work as being like belonging to a large family –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I think we need to feel part of a community, part of a family … we used to have it years ago when unions … the best bit about unions was that you were part of something bigger than yourself and … you know they used to have colliery football teams and rugby teams and things … and um … the good side, not the militant side, of a union is a feeling of part of something bigger than yourself that cares for you and you care for it</w:t>
      </w:r>
      <w:r w:rsidRPr="00F85EE6">
        <w:rPr>
          <w:rFonts w:asciiTheme="minorHAnsi" w:hAnsiTheme="minorHAnsi"/>
        </w:rPr>
        <w:t xml:space="preserve"> (John)</w:t>
      </w:r>
    </w:p>
    <w:p w:rsidR="009763D9" w:rsidRPr="00F85EE6" w:rsidRDefault="009763D9" w:rsidP="00F85EE6">
      <w:pPr>
        <w:spacing w:line="240" w:lineRule="auto"/>
        <w:jc w:val="both"/>
        <w:rPr>
          <w:rFonts w:asciiTheme="minorHAnsi" w:hAnsiTheme="minorHAnsi"/>
        </w:rPr>
      </w:pPr>
    </w:p>
    <w:p w:rsidR="009763D9" w:rsidRPr="00F85EE6" w:rsidRDefault="009763D9" w:rsidP="00F85EE6">
      <w:pPr>
        <w:spacing w:line="240" w:lineRule="auto"/>
        <w:jc w:val="both"/>
        <w:rPr>
          <w:rFonts w:asciiTheme="minorHAnsi" w:hAnsiTheme="minorHAnsi"/>
        </w:rPr>
      </w:pPr>
      <w:r w:rsidRPr="00F85EE6">
        <w:rPr>
          <w:rFonts w:asciiTheme="minorHAnsi" w:hAnsiTheme="minorHAnsi"/>
          <w:lang w:val="en-GB"/>
        </w:rPr>
        <w:t xml:space="preserve">Here John used a work-related example to illustrate his feelings about belonging. The choice of example, a workplace union, underlines the value of work as way of belonging for John. </w:t>
      </w:r>
      <w:r w:rsidRPr="00F85EE6">
        <w:rPr>
          <w:rFonts w:asciiTheme="minorHAnsi" w:hAnsiTheme="minorHAnsi"/>
        </w:rPr>
        <w:t>Some of the participants, however, spoke about ways of belonging which felt unwelcome – the teachers’ clique, and the intrusive employer being two such examples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…teaching is a different world.  They all relate to each other … I mean I can see it now – teachers talk to teachers, they go out with teachers, they all hang around with teachers, it’s just … I mean many professions are like that, but I think teaching is particularly strong in that way</w:t>
      </w:r>
      <w:r w:rsidRPr="00F85EE6">
        <w:rPr>
          <w:rFonts w:asciiTheme="minorHAnsi" w:hAnsiTheme="minorHAnsi"/>
        </w:rPr>
        <w:t xml:space="preserve"> (Ian)</w:t>
      </w:r>
    </w:p>
    <w:p w:rsidR="009763D9" w:rsidRPr="00F85EE6" w:rsidRDefault="009763D9" w:rsidP="00F85EE6">
      <w:pPr>
        <w:spacing w:line="240" w:lineRule="auto"/>
        <w:jc w:val="both"/>
        <w:rPr>
          <w:rFonts w:asciiTheme="minorHAnsi" w:hAnsiTheme="minorHAnsi"/>
        </w:rPr>
      </w:pPr>
      <w:r w:rsidRPr="00F85EE6">
        <w:rPr>
          <w:rFonts w:asciiTheme="minorHAnsi" w:hAnsiTheme="minorHAnsi"/>
        </w:rPr>
        <w:t>Ian’s account suggested that he felt quite suffocated by the intensity of relationships within teaching, both at work and socially. He no longer wished to belong to that world, but to rebuild a life for himself as a self employed gardener with the freedom to work alone.  Chris also found the lack of boundaries between work and his private life problematic and had no wish to return to his former worker role</w:t>
      </w:r>
      <w:r w:rsidR="00817222">
        <w:rPr>
          <w:rFonts w:asciiTheme="minorHAnsi" w:hAnsiTheme="minorHAnsi"/>
        </w:rPr>
        <w:t xml:space="preserve">, even though he strongly identified as </w:t>
      </w:r>
      <w:r w:rsidR="00817222" w:rsidRPr="00817222">
        <w:rPr>
          <w:rFonts w:asciiTheme="minorHAnsi" w:hAnsiTheme="minorHAnsi"/>
          <w:i/>
        </w:rPr>
        <w:t>‘a retired office clerk’</w:t>
      </w:r>
      <w:r w:rsidRPr="00F85EE6">
        <w:rPr>
          <w:rFonts w:asciiTheme="minorHAnsi" w:hAnsiTheme="minorHAnsi"/>
        </w:rPr>
        <w:t xml:space="preserve"> -</w:t>
      </w:r>
    </w:p>
    <w:p w:rsidR="009763D9" w:rsidRPr="00F85EE6" w:rsidRDefault="009763D9" w:rsidP="00F85EE6">
      <w:pPr>
        <w:spacing w:line="240" w:lineRule="auto"/>
        <w:jc w:val="both"/>
        <w:rPr>
          <w:rFonts w:asciiTheme="minorHAnsi" w:hAnsiTheme="minorHAnsi"/>
        </w:rPr>
      </w:pPr>
      <w:r w:rsidRPr="00F85EE6">
        <w:rPr>
          <w:rFonts w:asciiTheme="minorHAnsi" w:hAnsiTheme="minorHAnsi"/>
          <w:i/>
        </w:rPr>
        <w:t xml:space="preserve">But … the idea of sort of being invaded by the employer and having them sort of supervising your life and the sort of thing is not something I find very attractive at all – and this has happened to me in the past and I don’t want it in the future.  I like to go in and do my work and go home and that </w:t>
      </w:r>
      <w:proofErr w:type="gramStart"/>
      <w:r w:rsidRPr="00F85EE6">
        <w:rPr>
          <w:rFonts w:asciiTheme="minorHAnsi" w:hAnsiTheme="minorHAnsi"/>
          <w:i/>
        </w:rPr>
        <w:t>be</w:t>
      </w:r>
      <w:proofErr w:type="gramEnd"/>
      <w:r w:rsidRPr="00F85EE6">
        <w:rPr>
          <w:rFonts w:asciiTheme="minorHAnsi" w:hAnsiTheme="minorHAnsi"/>
          <w:i/>
        </w:rPr>
        <w:t xml:space="preserve"> the end of it</w:t>
      </w:r>
      <w:r w:rsidRPr="00F85EE6">
        <w:rPr>
          <w:rFonts w:asciiTheme="minorHAnsi" w:hAnsiTheme="minorHAnsi"/>
        </w:rPr>
        <w:t xml:space="preserve"> (Chris)</w:t>
      </w:r>
    </w:p>
    <w:p w:rsidR="009763D9" w:rsidRPr="00F85EE6" w:rsidRDefault="009763D9" w:rsidP="00F85EE6">
      <w:pPr>
        <w:spacing w:line="240" w:lineRule="auto"/>
        <w:jc w:val="both"/>
        <w:rPr>
          <w:rFonts w:asciiTheme="minorHAnsi" w:hAnsiTheme="minorHAnsi"/>
          <w:i/>
        </w:rPr>
      </w:pPr>
    </w:p>
    <w:p w:rsidR="009763D9" w:rsidRPr="00F85EE6" w:rsidRDefault="009763D9" w:rsidP="00F85EE6">
      <w:pPr>
        <w:spacing w:line="240" w:lineRule="auto"/>
        <w:jc w:val="both"/>
        <w:rPr>
          <w:rFonts w:asciiTheme="minorHAnsi" w:hAnsiTheme="minorHAnsi"/>
        </w:rPr>
      </w:pPr>
      <w:r w:rsidRPr="00F85EE6">
        <w:rPr>
          <w:rFonts w:asciiTheme="minorHAnsi" w:hAnsiTheme="minorHAnsi"/>
        </w:rPr>
        <w:t xml:space="preserve">The participants described ways of belonging that they valued and that made them feel good about themselves which were accessed through their different roles and occupations. All of them expressed the value of support from mental health services in the early days of being mentally unwell and shared a desire to move away from an intense focus on the role of mental health services in their lives as they progressed on their individual recovery paths. Ways of belonging that made the participants feel validated and valued, and helped them to feel that they could manage their lives were identified as being of vital importance. Ways of belonging through work that were overly intrusive and unhelpful were also identified. As participants were wishing to move away from mental health services, it is possible to </w:t>
      </w:r>
      <w:r w:rsidRPr="00F85EE6">
        <w:rPr>
          <w:rFonts w:asciiTheme="minorHAnsi" w:hAnsiTheme="minorHAnsi"/>
        </w:rPr>
        <w:lastRenderedPageBreak/>
        <w:t>speculate how belonging in the day centre</w:t>
      </w:r>
      <w:r w:rsidR="00805539">
        <w:rPr>
          <w:rFonts w:asciiTheme="minorHAnsi" w:hAnsiTheme="minorHAnsi"/>
        </w:rPr>
        <w:t xml:space="preserve"> </w:t>
      </w:r>
      <w:r w:rsidRPr="00F85EE6">
        <w:rPr>
          <w:rFonts w:asciiTheme="minorHAnsi" w:hAnsiTheme="minorHAnsi"/>
        </w:rPr>
        <w:t xml:space="preserve">had also latterly been an unhelpful form of belonging. Painful feelings of not belonging, and of feeling excluded from work, family, friends and wider society may be especially problematic for people who are living with mental health problems and the concomitant stigma. </w:t>
      </w:r>
    </w:p>
    <w:p w:rsidR="009763D9" w:rsidRDefault="009763D9" w:rsidP="00F85EE6">
      <w:pPr>
        <w:spacing w:line="240" w:lineRule="auto"/>
        <w:jc w:val="both"/>
        <w:rPr>
          <w:rFonts w:asciiTheme="minorHAnsi" w:hAnsiTheme="minorHAnsi"/>
          <w:b/>
        </w:rPr>
      </w:pPr>
      <w:r w:rsidRPr="00F85EE6">
        <w:rPr>
          <w:rFonts w:asciiTheme="minorHAnsi" w:hAnsiTheme="minorHAnsi"/>
          <w:b/>
        </w:rPr>
        <w:t>Discussion</w:t>
      </w:r>
    </w:p>
    <w:p w:rsidR="00DE4F62" w:rsidRPr="00DE4F62" w:rsidRDefault="00DE4F62" w:rsidP="00DE4F62">
      <w:pPr>
        <w:spacing w:line="240" w:lineRule="auto"/>
        <w:jc w:val="both"/>
        <w:rPr>
          <w:rFonts w:asciiTheme="minorHAnsi" w:hAnsiTheme="minorHAnsi"/>
        </w:rPr>
      </w:pPr>
      <w:r w:rsidRPr="00DE4F62">
        <w:rPr>
          <w:rFonts w:asciiTheme="minorHAnsi" w:hAnsiTheme="minorHAnsi"/>
        </w:rPr>
        <w:t>This study took an occupational perspective of work for people living with severe and enduring mental health problems. Encouraged by the writings of occupational science researchers (</w:t>
      </w:r>
      <w:r w:rsidR="00F62310">
        <w:rPr>
          <w:rFonts w:asciiTheme="minorHAnsi" w:hAnsiTheme="minorHAnsi"/>
        </w:rPr>
        <w:t xml:space="preserve">Hocking, </w:t>
      </w:r>
      <w:r w:rsidR="00817222">
        <w:rPr>
          <w:rFonts w:asciiTheme="minorHAnsi" w:hAnsiTheme="minorHAnsi"/>
        </w:rPr>
        <w:t xml:space="preserve">2009; </w:t>
      </w:r>
      <w:r w:rsidRPr="00DE4F62">
        <w:rPr>
          <w:rFonts w:asciiTheme="minorHAnsi" w:hAnsiTheme="minorHAnsi"/>
        </w:rPr>
        <w:t>Reed et al, 2010</w:t>
      </w:r>
      <w:r w:rsidR="00817222">
        <w:rPr>
          <w:rFonts w:asciiTheme="minorHAnsi" w:hAnsiTheme="minorHAnsi"/>
        </w:rPr>
        <w:t>;</w:t>
      </w:r>
      <w:r w:rsidR="00817222" w:rsidRPr="00817222">
        <w:rPr>
          <w:rFonts w:asciiTheme="minorHAnsi" w:hAnsiTheme="minorHAnsi"/>
        </w:rPr>
        <w:t xml:space="preserve"> </w:t>
      </w:r>
      <w:r w:rsidR="00817222" w:rsidRPr="00DE4F62">
        <w:rPr>
          <w:rFonts w:asciiTheme="minorHAnsi" w:hAnsiTheme="minorHAnsi"/>
        </w:rPr>
        <w:t>Whalley Hammell</w:t>
      </w:r>
      <w:r w:rsidR="00817222">
        <w:rPr>
          <w:rFonts w:asciiTheme="minorHAnsi" w:hAnsiTheme="minorHAnsi"/>
        </w:rPr>
        <w:t xml:space="preserve">, 2004,) we </w:t>
      </w:r>
      <w:r w:rsidRPr="00DE4F62">
        <w:rPr>
          <w:rFonts w:asciiTheme="minorHAnsi" w:hAnsiTheme="minorHAnsi"/>
        </w:rPr>
        <w:t>sought to illuminate some of the complex meanings of work for the participants from a lived</w:t>
      </w:r>
      <w:r w:rsidR="00817222">
        <w:rPr>
          <w:rFonts w:asciiTheme="minorHAnsi" w:hAnsiTheme="minorHAnsi"/>
        </w:rPr>
        <w:t xml:space="preserve"> experience viewpoint with our</w:t>
      </w:r>
      <w:r w:rsidRPr="00DE4F62">
        <w:rPr>
          <w:rFonts w:asciiTheme="minorHAnsi" w:hAnsiTheme="minorHAnsi"/>
        </w:rPr>
        <w:t xml:space="preserve"> use of a phenomenological method. The interviews facilitated the participants in offering detailed accounts of their engagement in a wide variety of occupations, including work. The interpretative analysis which followed has facilitated a more nuanced understanding of work and other occupations for people living with severe and enduring mental health problems, highlighting some of the ambiguity and ambivalence about work from the perspectives of the participants. </w:t>
      </w:r>
    </w:p>
    <w:p w:rsidR="00DE4F62" w:rsidRPr="00DE4F62" w:rsidRDefault="00DE4F62" w:rsidP="00DE4F62">
      <w:pPr>
        <w:spacing w:line="240" w:lineRule="auto"/>
        <w:jc w:val="both"/>
        <w:rPr>
          <w:rFonts w:asciiTheme="minorHAnsi" w:hAnsiTheme="minorHAnsi"/>
        </w:rPr>
      </w:pPr>
      <w:r w:rsidRPr="00DE4F62">
        <w:rPr>
          <w:rFonts w:asciiTheme="minorHAnsi" w:hAnsiTheme="minorHAnsi"/>
        </w:rPr>
        <w:t xml:space="preserve">For all 10 of the participants, paid employment had been a past occupation and the majority also envisaged paid employment as part of their future lives. Through their exploration of Wilcock’s (1998) constructs of doing and becoming, Gewurtz and Kirsh (2007) suggested that having a job facilitated the development of identities by providing experience of roles that could be drawn upon to envisage future capacity. However, a number of the participants in the current study had had extremely negative experiences of work, often connecting the onset of their mental health problems to their work.  Nevertheless, work remained a priority for many of them. At a macro level, it is possible that this reflects the high social value attached to work in the Western world; however the nuanced understandings made possible by the approach taken to the research revealed some ambivalent, complex and ambiguous responses to questions about work. As the participants were not currently in paid employment, their accounts were of the non work occupations they engaged in, and the meanings of these for them in terms of identity formation and facilitating a sense of belonging. </w:t>
      </w:r>
    </w:p>
    <w:p w:rsidR="00DE4F62" w:rsidRPr="00DE4F62" w:rsidRDefault="00DE4F62" w:rsidP="00DE4F62">
      <w:pPr>
        <w:spacing w:line="240" w:lineRule="auto"/>
        <w:jc w:val="both"/>
        <w:rPr>
          <w:rFonts w:asciiTheme="minorHAnsi" w:hAnsiTheme="minorHAnsi"/>
        </w:rPr>
      </w:pPr>
    </w:p>
    <w:p w:rsidR="00DE4F62" w:rsidRPr="00DE4F62" w:rsidRDefault="00DE4F62" w:rsidP="00DE4F62">
      <w:pPr>
        <w:spacing w:line="240" w:lineRule="auto"/>
        <w:jc w:val="both"/>
        <w:rPr>
          <w:rFonts w:asciiTheme="minorHAnsi" w:hAnsiTheme="minorHAnsi"/>
        </w:rPr>
      </w:pPr>
      <w:r w:rsidRPr="00DE4F62">
        <w:rPr>
          <w:rFonts w:asciiTheme="minorHAnsi" w:hAnsiTheme="minorHAnsi"/>
        </w:rPr>
        <w:t xml:space="preserve">The value of engaging in occupations which fostered the sense of belonging described by the participants supports previous findings about the latent aspects of work (Jahoda, 1981). These include being part of a collective pursuit, and the conferment of status and identity. Blank et al (2011) in their review of the literature around the views and perspectives on work of mental health service users highlighted the multiple meanings of work which included the social networking opportunities that going to work provided, and the feelings of validation that having a job conferred. In the absence of paid work as an option for people, either because of local economic conditions, or because the individual does not  wish to access work, attention to other occupations which fulfill basic needs of belonging and a sense of self, is important. </w:t>
      </w:r>
    </w:p>
    <w:p w:rsidR="00DE4F62" w:rsidRPr="00DE4F62" w:rsidRDefault="00DE4F62" w:rsidP="00DE4F62">
      <w:pPr>
        <w:spacing w:line="240" w:lineRule="auto"/>
        <w:jc w:val="both"/>
        <w:rPr>
          <w:rFonts w:asciiTheme="minorHAnsi" w:hAnsiTheme="minorHAnsi"/>
        </w:rPr>
      </w:pPr>
      <w:r w:rsidRPr="00DE4F62">
        <w:rPr>
          <w:rFonts w:asciiTheme="minorHAnsi" w:hAnsiTheme="minorHAnsi"/>
        </w:rPr>
        <w:t xml:space="preserve">The ways in which the participants spoke about themselves suggested that their occupations conferred a sense of identity (Christiansen &amp; Bryan, 1999). They described ways in which they were using occupations to effect identity change. There was some support </w:t>
      </w:r>
      <w:r w:rsidRPr="00DE4F62">
        <w:rPr>
          <w:rFonts w:asciiTheme="minorHAnsi" w:hAnsiTheme="minorHAnsi"/>
        </w:rPr>
        <w:lastRenderedPageBreak/>
        <w:t xml:space="preserve">among the group of participants for distancing the self from an unwanted or ‘spoiled identity’ (Goffman, 1963), or ‘threatened identity’ (Breakwell, 1986); of the need to create a brand new identity; of reconnecting with a previous and wanted identity; and of integrating elements of identity to form a coherent whole.  Thus, while working could be a means to achieving a positive self identity, some participants identified other valued roles which appeared to be of equal importance in providing opportunities for social connections and to establishing a sense of self. For example, some of the participants described parenting and other family roles; some were actively involved with their local community, while others held key volunteer roles within the day centre itself. The findings support Slade’s (2009) emphasis on establishing a positive identity </w:t>
      </w:r>
      <w:r w:rsidR="00817222">
        <w:rPr>
          <w:rFonts w:asciiTheme="minorHAnsi" w:hAnsiTheme="minorHAnsi"/>
        </w:rPr>
        <w:t xml:space="preserve">as one of the tasks of recovery, and we would advocate a primary focus on the formation occupational identity as a means to achieve this. </w:t>
      </w:r>
    </w:p>
    <w:p w:rsidR="00DE4F62" w:rsidRPr="00DE4F62" w:rsidRDefault="00DE4F62" w:rsidP="00DE4F62">
      <w:pPr>
        <w:spacing w:line="240" w:lineRule="auto"/>
        <w:jc w:val="both"/>
        <w:rPr>
          <w:rFonts w:asciiTheme="minorHAnsi" w:hAnsiTheme="minorHAnsi"/>
        </w:rPr>
      </w:pPr>
      <w:r w:rsidRPr="00DE4F62">
        <w:rPr>
          <w:rFonts w:asciiTheme="minorHAnsi" w:hAnsiTheme="minorHAnsi"/>
        </w:rPr>
        <w:t xml:space="preserve">A sense of belonging has been considered a basic human need, and has been a concept of interest to occupational scientists for some years (Wilcock, 2006). Belonging is a complex topic which some argue has featured surprisingly little in mental health research (Stickley and </w:t>
      </w:r>
      <w:proofErr w:type="spellStart"/>
      <w:r w:rsidRPr="00DE4F62">
        <w:rPr>
          <w:rFonts w:asciiTheme="minorHAnsi" w:hAnsiTheme="minorHAnsi"/>
        </w:rPr>
        <w:t>Hui</w:t>
      </w:r>
      <w:proofErr w:type="spellEnd"/>
      <w:r w:rsidRPr="00DE4F62">
        <w:rPr>
          <w:rFonts w:asciiTheme="minorHAnsi" w:hAnsiTheme="minorHAnsi"/>
        </w:rPr>
        <w:t xml:space="preserve">, 2012).  A recent study of previously homeless people with mental health problems (Fields, 2011) identified three modes of belonging – non normative belonging, belonging from afar, and non belonging. Fields (2011) suggests that there is an idealized understanding about belonging that might longed for but rarely experienced by people who, because of their health needs, are often on the fringes of society. The participants in the present study, though they were not working, and had previously negative experiences of working, gave accounts which suggested they felt that working would be a way to achieve a feeling of social connectedness and belonging. However their attachment to their non work occupations and the ways in which they used these to feel good about themselves might suggest that they held some doubts about what work would really offer them. </w:t>
      </w:r>
      <w:r w:rsidRPr="00DE4F62">
        <w:rPr>
          <w:rFonts w:asciiTheme="minorHAnsi" w:hAnsiTheme="minorHAnsi"/>
          <w:lang w:val="en-GB"/>
        </w:rPr>
        <w:t>Marwaha and Johnson (2005) have suggested that an expressed desire to work may reflect the social value that is attached to work in We</w:t>
      </w:r>
      <w:r w:rsidR="001854E1">
        <w:rPr>
          <w:rFonts w:asciiTheme="minorHAnsi" w:hAnsiTheme="minorHAnsi"/>
          <w:lang w:val="en-GB"/>
        </w:rPr>
        <w:t xml:space="preserve">stern societies and that further enquiry can reveal ambivalence. </w:t>
      </w:r>
    </w:p>
    <w:p w:rsidR="00DE4F62" w:rsidRPr="00DE4F62" w:rsidRDefault="00DE4F62" w:rsidP="00F85EE6">
      <w:pPr>
        <w:spacing w:line="240" w:lineRule="auto"/>
        <w:jc w:val="both"/>
        <w:rPr>
          <w:rFonts w:asciiTheme="minorHAnsi" w:hAnsiTheme="minorHAnsi"/>
        </w:rPr>
      </w:pPr>
    </w:p>
    <w:p w:rsidR="00D75B87" w:rsidRDefault="00D75B87" w:rsidP="00F85EE6">
      <w:pPr>
        <w:spacing w:line="240" w:lineRule="auto"/>
        <w:jc w:val="both"/>
        <w:rPr>
          <w:rFonts w:asciiTheme="minorHAnsi" w:hAnsiTheme="minorHAnsi"/>
          <w:b/>
        </w:rPr>
      </w:pPr>
      <w:r>
        <w:rPr>
          <w:rFonts w:asciiTheme="minorHAnsi" w:hAnsiTheme="minorHAnsi"/>
          <w:b/>
        </w:rPr>
        <w:t>Implications for occupational science</w:t>
      </w:r>
    </w:p>
    <w:p w:rsidR="00D75B87" w:rsidRDefault="000F4E71" w:rsidP="00F85EE6">
      <w:pPr>
        <w:spacing w:line="240" w:lineRule="auto"/>
        <w:jc w:val="both"/>
        <w:rPr>
          <w:rFonts w:asciiTheme="minorHAnsi" w:hAnsiTheme="minorHAnsi"/>
        </w:rPr>
      </w:pPr>
      <w:r>
        <w:rPr>
          <w:rFonts w:asciiTheme="minorHAnsi" w:hAnsiTheme="minorHAnsi"/>
        </w:rPr>
        <w:t xml:space="preserve">The current rhetoric around work and employment for all, with the attendant welfare benefits reforms in the UK and elsewhere, is in danger of obscuring attention to the need for people to be able to participate in a range of occupations in order to influence their health and well being. </w:t>
      </w:r>
      <w:r w:rsidR="00D75B87">
        <w:rPr>
          <w:rFonts w:asciiTheme="minorHAnsi" w:hAnsiTheme="minorHAnsi"/>
        </w:rPr>
        <w:t xml:space="preserve">Small qualitative studies, informed by a phenomenological methodology are highly relevant to the current emphasis in the occupational science literature on describing </w:t>
      </w:r>
      <w:r w:rsidR="00F62310">
        <w:rPr>
          <w:rFonts w:asciiTheme="minorHAnsi" w:hAnsiTheme="minorHAnsi"/>
        </w:rPr>
        <w:t>occupations (Hocking</w:t>
      </w:r>
      <w:r w:rsidR="005131D4">
        <w:rPr>
          <w:rFonts w:asciiTheme="minorHAnsi" w:hAnsiTheme="minorHAnsi"/>
        </w:rPr>
        <w:t>, 2009</w:t>
      </w:r>
      <w:r w:rsidR="00D75B87">
        <w:rPr>
          <w:rFonts w:asciiTheme="minorHAnsi" w:hAnsiTheme="minorHAnsi"/>
        </w:rPr>
        <w:t>), and the call to attend to the personal meanings of occupations for in</w:t>
      </w:r>
      <w:r w:rsidR="005131D4">
        <w:rPr>
          <w:rFonts w:asciiTheme="minorHAnsi" w:hAnsiTheme="minorHAnsi"/>
        </w:rPr>
        <w:t>dividuals (Whalley Hammell, 2004; Reed et al, 2010</w:t>
      </w:r>
      <w:r>
        <w:rPr>
          <w:rFonts w:asciiTheme="minorHAnsi" w:hAnsiTheme="minorHAnsi"/>
        </w:rPr>
        <w:t>; Vaught and Whitman, 2013</w:t>
      </w:r>
      <w:r w:rsidR="00D75B87">
        <w:rPr>
          <w:rFonts w:asciiTheme="minorHAnsi" w:hAnsiTheme="minorHAnsi"/>
        </w:rPr>
        <w:t>) as way of contributing to the evidence base. Interpretative phenomenological analysis</w:t>
      </w:r>
      <w:r>
        <w:rPr>
          <w:rFonts w:asciiTheme="minorHAnsi" w:hAnsiTheme="minorHAnsi"/>
        </w:rPr>
        <w:t xml:space="preserve"> (IPA)</w:t>
      </w:r>
      <w:r w:rsidR="00D75B87">
        <w:rPr>
          <w:rFonts w:asciiTheme="minorHAnsi" w:hAnsiTheme="minorHAnsi"/>
        </w:rPr>
        <w:t xml:space="preserve">, with its use of the double hermeneutic and consequent attention to the role of the researcher in the process, </w:t>
      </w:r>
      <w:r>
        <w:rPr>
          <w:rFonts w:asciiTheme="minorHAnsi" w:hAnsiTheme="minorHAnsi"/>
        </w:rPr>
        <w:t xml:space="preserve">and its acknowledgment of people as active beings, seems of particular value in this endeavour. </w:t>
      </w:r>
    </w:p>
    <w:p w:rsidR="000F4E71" w:rsidRPr="00D75B87" w:rsidRDefault="000F4E71" w:rsidP="00F85EE6">
      <w:pPr>
        <w:spacing w:line="240" w:lineRule="auto"/>
        <w:jc w:val="both"/>
        <w:rPr>
          <w:rFonts w:asciiTheme="minorHAnsi" w:hAnsiTheme="minorHAnsi"/>
        </w:rPr>
      </w:pP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Methodological considerations</w:t>
      </w:r>
    </w:p>
    <w:p w:rsidR="005131D4" w:rsidRPr="00F85EE6" w:rsidRDefault="009763D9" w:rsidP="005131D4">
      <w:pPr>
        <w:spacing w:line="240" w:lineRule="auto"/>
        <w:jc w:val="both"/>
        <w:rPr>
          <w:rFonts w:asciiTheme="minorHAnsi" w:hAnsiTheme="minorHAnsi"/>
        </w:rPr>
      </w:pPr>
      <w:r w:rsidRPr="00F85EE6">
        <w:rPr>
          <w:rFonts w:asciiTheme="minorHAnsi" w:hAnsiTheme="minorHAnsi"/>
        </w:rPr>
        <w:lastRenderedPageBreak/>
        <w:t xml:space="preserve">There are some limitations to the design of the study. It may have been the case that, with a study that was carried out over an extended period, participants who were not able to sustain a commitment to either work or the study due to the nature of their mental health problems, felt that they needed to withdraw from the study, despite assurances to the contrary. </w:t>
      </w:r>
      <w:r w:rsidR="005131D4" w:rsidRPr="00F85EE6">
        <w:rPr>
          <w:rFonts w:asciiTheme="minorHAnsi" w:hAnsiTheme="minorHAnsi"/>
        </w:rPr>
        <w:t xml:space="preserve">Since this study has presented findings from a small sample a cautious approach is required in interpreting the findings. </w:t>
      </w:r>
    </w:p>
    <w:p w:rsidR="005131D4" w:rsidRDefault="009763D9" w:rsidP="00F85EE6">
      <w:pPr>
        <w:spacing w:line="240" w:lineRule="auto"/>
        <w:jc w:val="both"/>
        <w:rPr>
          <w:rFonts w:asciiTheme="minorHAnsi" w:hAnsiTheme="minorHAnsi"/>
        </w:rPr>
      </w:pPr>
      <w:r w:rsidRPr="00F85EE6">
        <w:rPr>
          <w:rFonts w:asciiTheme="minorHAnsi" w:hAnsiTheme="minorHAnsi"/>
        </w:rPr>
        <w:t>However the longitudinal study design</w:t>
      </w:r>
      <w:r w:rsidR="005131D4">
        <w:rPr>
          <w:rFonts w:asciiTheme="minorHAnsi" w:hAnsiTheme="minorHAnsi"/>
        </w:rPr>
        <w:t>,</w:t>
      </w:r>
      <w:r w:rsidR="005131D4" w:rsidRPr="005131D4">
        <w:rPr>
          <w:rFonts w:asciiTheme="minorHAnsi" w:hAnsiTheme="minorHAnsi"/>
        </w:rPr>
        <w:t xml:space="preserve"> </w:t>
      </w:r>
      <w:r w:rsidR="005131D4" w:rsidRPr="00F85EE6">
        <w:rPr>
          <w:rFonts w:asciiTheme="minorHAnsi" w:hAnsiTheme="minorHAnsi"/>
        </w:rPr>
        <w:t xml:space="preserve">the phenomenological approach and the interview style used were sufficiently open to enable the participants to share what was relevant to them around the topic of working and having a mental health problem. </w:t>
      </w:r>
    </w:p>
    <w:p w:rsidR="009763D9" w:rsidRPr="00F85EE6" w:rsidRDefault="009763D9" w:rsidP="00F85EE6">
      <w:pPr>
        <w:spacing w:line="240" w:lineRule="auto"/>
        <w:jc w:val="both"/>
        <w:rPr>
          <w:rFonts w:asciiTheme="minorHAnsi" w:hAnsiTheme="minorHAnsi"/>
        </w:rPr>
      </w:pPr>
    </w:p>
    <w:p w:rsidR="009763D9" w:rsidRPr="00F85EE6" w:rsidRDefault="009763D9" w:rsidP="00F85EE6">
      <w:pPr>
        <w:spacing w:line="240" w:lineRule="auto"/>
        <w:jc w:val="both"/>
        <w:rPr>
          <w:rFonts w:asciiTheme="minorHAnsi" w:hAnsiTheme="minorHAnsi"/>
          <w:b/>
        </w:rPr>
      </w:pPr>
      <w:r w:rsidRPr="00F85EE6">
        <w:rPr>
          <w:rFonts w:asciiTheme="minorHAnsi" w:hAnsiTheme="minorHAnsi"/>
          <w:b/>
        </w:rPr>
        <w:t>Conclusion</w:t>
      </w:r>
    </w:p>
    <w:p w:rsidR="009763D9" w:rsidRPr="00F85EE6" w:rsidRDefault="009763D9" w:rsidP="00F85EE6">
      <w:pPr>
        <w:spacing w:line="240" w:lineRule="auto"/>
        <w:jc w:val="both"/>
        <w:rPr>
          <w:rFonts w:asciiTheme="minorHAnsi" w:hAnsiTheme="minorHAnsi"/>
          <w:lang w:val="en-GB"/>
        </w:rPr>
      </w:pPr>
      <w:r w:rsidRPr="00F85EE6">
        <w:rPr>
          <w:rFonts w:asciiTheme="minorHAnsi" w:hAnsiTheme="minorHAnsi"/>
          <w:lang w:val="en-GB"/>
        </w:rPr>
        <w:t>This is the first study to use IPA in a longitudinal exploration of the meaning and experience of work in the context of severe and enduring mental health problems. The interpretative phenomenological approach to the study enabled some previous broad understandings of work for people with mental health problems to be further illuminated by engaging with them fr</w:t>
      </w:r>
      <w:r w:rsidR="009236FB">
        <w:rPr>
          <w:rFonts w:asciiTheme="minorHAnsi" w:hAnsiTheme="minorHAnsi"/>
          <w:lang w:val="en-GB"/>
        </w:rPr>
        <w:t>om an occupation</w:t>
      </w:r>
      <w:r w:rsidR="00AD3A18">
        <w:rPr>
          <w:rFonts w:asciiTheme="minorHAnsi" w:hAnsiTheme="minorHAnsi"/>
          <w:lang w:val="en-GB"/>
        </w:rPr>
        <w:t>al perspective. The call from</w:t>
      </w:r>
      <w:r w:rsidR="009236FB">
        <w:rPr>
          <w:rFonts w:asciiTheme="minorHAnsi" w:hAnsiTheme="minorHAnsi"/>
          <w:lang w:val="en-GB"/>
        </w:rPr>
        <w:t xml:space="preserve"> some occupational scientists to explore occupations from a perspective of</w:t>
      </w:r>
      <w:r w:rsidR="00AD3A18">
        <w:rPr>
          <w:rFonts w:asciiTheme="minorHAnsi" w:hAnsiTheme="minorHAnsi"/>
          <w:lang w:val="en-GB"/>
        </w:rPr>
        <w:t xml:space="preserve"> meaning to individuals has</w:t>
      </w:r>
      <w:r w:rsidR="009236FB">
        <w:rPr>
          <w:rFonts w:asciiTheme="minorHAnsi" w:hAnsiTheme="minorHAnsi"/>
          <w:lang w:val="en-GB"/>
        </w:rPr>
        <w:t xml:space="preserve"> helped to illuminate some previou</w:t>
      </w:r>
      <w:r w:rsidR="00AD3A18">
        <w:rPr>
          <w:rFonts w:asciiTheme="minorHAnsi" w:hAnsiTheme="minorHAnsi"/>
          <w:lang w:val="en-GB"/>
        </w:rPr>
        <w:t xml:space="preserve">sly hidden facets of work and other </w:t>
      </w:r>
      <w:r w:rsidR="009236FB">
        <w:rPr>
          <w:rFonts w:asciiTheme="minorHAnsi" w:hAnsiTheme="minorHAnsi"/>
          <w:lang w:val="en-GB"/>
        </w:rPr>
        <w:t>occupation</w:t>
      </w:r>
      <w:r w:rsidR="00AD3A18">
        <w:rPr>
          <w:rFonts w:asciiTheme="minorHAnsi" w:hAnsiTheme="minorHAnsi"/>
          <w:lang w:val="en-GB"/>
        </w:rPr>
        <w:t>al engagement</w:t>
      </w:r>
      <w:r w:rsidR="009236FB">
        <w:rPr>
          <w:rFonts w:asciiTheme="minorHAnsi" w:hAnsiTheme="minorHAnsi"/>
          <w:lang w:val="en-GB"/>
        </w:rPr>
        <w:t xml:space="preserve"> for people living with severe and enduring mental health problems. </w:t>
      </w:r>
      <w:r w:rsidRPr="00F85EE6">
        <w:rPr>
          <w:rFonts w:asciiTheme="minorHAnsi" w:hAnsiTheme="minorHAnsi"/>
          <w:lang w:val="en-GB"/>
        </w:rPr>
        <w:t xml:space="preserve"> </w:t>
      </w:r>
      <w:r w:rsidR="00AD3A18">
        <w:rPr>
          <w:rFonts w:asciiTheme="minorHAnsi" w:hAnsiTheme="minorHAnsi"/>
          <w:lang w:val="en-GB"/>
        </w:rPr>
        <w:t xml:space="preserve">A phenomenological method has </w:t>
      </w:r>
      <w:r w:rsidRPr="00F85EE6">
        <w:rPr>
          <w:rFonts w:asciiTheme="minorHAnsi" w:hAnsiTheme="minorHAnsi"/>
          <w:lang w:val="en-GB"/>
        </w:rPr>
        <w:t xml:space="preserve">allowed the importance of non-work occupations as a means to create and maintain personal and social identity, and to enable the participants to be socially included, to become apparent in the absence of employment. The findings also suggested that some of what Jahoda (1981) has referred to as the latent functions of work, such as time structure, being part of a collective pursuit, the conferment of status and identity, could be met through non-work occupations.  </w:t>
      </w:r>
    </w:p>
    <w:p w:rsidR="005131D4" w:rsidRDefault="009763D9" w:rsidP="00F85EE6">
      <w:pPr>
        <w:spacing w:line="240" w:lineRule="auto"/>
        <w:jc w:val="both"/>
        <w:rPr>
          <w:rFonts w:asciiTheme="minorHAnsi" w:hAnsiTheme="minorHAnsi"/>
        </w:rPr>
      </w:pPr>
      <w:r w:rsidRPr="00F85EE6">
        <w:rPr>
          <w:rFonts w:asciiTheme="minorHAnsi" w:hAnsiTheme="minorHAnsi"/>
        </w:rPr>
        <w:t xml:space="preserve">Therapists may be of service to their clients in the facilitation of the exploration of past identities, wanted future identities, providing opportunities for engagement in occupations that facilitate the construction of identity and a sense of belonging as part of the recovery journey. Occupations other than work, which many people may not think of as occupations (because often people assume occupation refers to </w:t>
      </w:r>
      <w:r w:rsidR="00AD3A18">
        <w:rPr>
          <w:rFonts w:asciiTheme="minorHAnsi" w:hAnsiTheme="minorHAnsi"/>
        </w:rPr>
        <w:t>paid work)</w:t>
      </w:r>
      <w:proofErr w:type="gramStart"/>
      <w:r w:rsidR="00AD3A18">
        <w:rPr>
          <w:rFonts w:asciiTheme="minorHAnsi" w:hAnsiTheme="minorHAnsi"/>
        </w:rPr>
        <w:t>,</w:t>
      </w:r>
      <w:proofErr w:type="gramEnd"/>
      <w:r w:rsidR="00AD3A18">
        <w:rPr>
          <w:rFonts w:asciiTheme="minorHAnsi" w:hAnsiTheme="minorHAnsi"/>
        </w:rPr>
        <w:t xml:space="preserve"> can contribute powerfully to a sense of self and of belonging</w:t>
      </w:r>
      <w:r w:rsidRPr="00F85EE6">
        <w:rPr>
          <w:rFonts w:asciiTheme="minorHAnsi" w:hAnsiTheme="minorHAnsi"/>
        </w:rPr>
        <w:t xml:space="preserve">. It is suggested that a variety of approaches to identity building and fostering a sense of belonging should be considered by occupational therapists who work with people living with severe and enduring mental health problems, and who wish to access employment. </w:t>
      </w:r>
    </w:p>
    <w:p w:rsidR="0085687A" w:rsidRDefault="009763D9" w:rsidP="0085687A">
      <w:pPr>
        <w:spacing w:line="240" w:lineRule="auto"/>
        <w:jc w:val="both"/>
        <w:rPr>
          <w:rFonts w:asciiTheme="minorHAnsi" w:hAnsiTheme="minorHAnsi"/>
        </w:rPr>
      </w:pPr>
      <w:r w:rsidRPr="00F85EE6">
        <w:rPr>
          <w:rFonts w:asciiTheme="minorHAnsi" w:hAnsiTheme="minorHAnsi"/>
        </w:rPr>
        <w:t xml:space="preserve">What has emerged from the findings in this study is an added appreciation of the centrality of occupations and social relationships in people’s lives, and the importance of these in facilitating a sense of self and of being included in the world. How each of these elements contributes to a sense of </w:t>
      </w:r>
      <w:proofErr w:type="gramStart"/>
      <w:r w:rsidRPr="00F85EE6">
        <w:rPr>
          <w:rFonts w:asciiTheme="minorHAnsi" w:hAnsiTheme="minorHAnsi"/>
        </w:rPr>
        <w:t>self,</w:t>
      </w:r>
      <w:proofErr w:type="gramEnd"/>
      <w:r w:rsidRPr="00F85EE6">
        <w:rPr>
          <w:rFonts w:asciiTheme="minorHAnsi" w:hAnsiTheme="minorHAnsi"/>
        </w:rPr>
        <w:t xml:space="preserve"> and to health and well-being has been underlined by an exploration of the participants’ life-worlds through a phenomenological approach. Although the study had a focus on work, it became clear that there were more fundamental issues of identity and belonging at stake for the partic</w:t>
      </w:r>
      <w:r w:rsidR="0085687A">
        <w:rPr>
          <w:rFonts w:asciiTheme="minorHAnsi" w:hAnsiTheme="minorHAnsi"/>
        </w:rPr>
        <w:t xml:space="preserve">ipants. </w:t>
      </w:r>
    </w:p>
    <w:p w:rsidR="0085687A" w:rsidRDefault="0085687A" w:rsidP="0085687A">
      <w:pPr>
        <w:spacing w:line="240" w:lineRule="auto"/>
        <w:jc w:val="both"/>
        <w:rPr>
          <w:rFonts w:asciiTheme="minorHAnsi" w:hAnsiTheme="minorHAnsi"/>
        </w:rPr>
      </w:pPr>
    </w:p>
    <w:p w:rsidR="00711256" w:rsidRDefault="00711256" w:rsidP="0085687A">
      <w:pPr>
        <w:spacing w:line="240" w:lineRule="auto"/>
        <w:jc w:val="both"/>
        <w:rPr>
          <w:rFonts w:ascii="Calibri" w:eastAsia="Calibri" w:hAnsi="Calibri"/>
        </w:rPr>
      </w:pPr>
      <w:r w:rsidRPr="00970E19">
        <w:rPr>
          <w:rFonts w:ascii="Calibri" w:eastAsia="Calibri" w:hAnsi="Calibri"/>
        </w:rPr>
        <w:lastRenderedPageBreak/>
        <w:t>References</w:t>
      </w:r>
    </w:p>
    <w:p w:rsidR="00C1326B" w:rsidRPr="00C1326B" w:rsidRDefault="00C1326B" w:rsidP="00C1326B">
      <w:pPr>
        <w:spacing w:line="240" w:lineRule="auto"/>
        <w:jc w:val="both"/>
        <w:rPr>
          <w:rFonts w:asciiTheme="minorHAnsi" w:hAnsiTheme="minorHAnsi"/>
          <w:i/>
          <w:lang w:val="en-GB"/>
        </w:rPr>
      </w:pPr>
      <w:proofErr w:type="gramStart"/>
      <w:r w:rsidRPr="00C1326B">
        <w:rPr>
          <w:rFonts w:asciiTheme="minorHAnsi" w:hAnsiTheme="minorHAnsi"/>
          <w:lang w:val="en-GB"/>
        </w:rPr>
        <w:t>Anderson, M. (2003)</w:t>
      </w:r>
      <w:r w:rsidR="006911AB">
        <w:rPr>
          <w:rFonts w:asciiTheme="minorHAnsi" w:hAnsiTheme="minorHAnsi"/>
          <w:lang w:val="en-GB"/>
        </w:rPr>
        <w:t>.</w:t>
      </w:r>
      <w:proofErr w:type="gramEnd"/>
      <w:r w:rsidRPr="00C1326B">
        <w:rPr>
          <w:rFonts w:asciiTheme="minorHAnsi" w:hAnsiTheme="minorHAnsi"/>
          <w:lang w:val="en-GB"/>
        </w:rPr>
        <w:t xml:space="preserve"> Embodied cognition: A field guide. </w:t>
      </w:r>
      <w:r w:rsidRPr="00C1326B">
        <w:rPr>
          <w:rFonts w:asciiTheme="minorHAnsi" w:hAnsiTheme="minorHAnsi"/>
          <w:i/>
          <w:lang w:val="en-GB"/>
        </w:rPr>
        <w:t xml:space="preserve">Artificial Intelligence, </w:t>
      </w:r>
      <w:r w:rsidRPr="00EB335F">
        <w:rPr>
          <w:rFonts w:asciiTheme="minorHAnsi" w:hAnsiTheme="minorHAnsi"/>
          <w:lang w:val="en-GB"/>
        </w:rPr>
        <w:t>149, 91-130.</w:t>
      </w:r>
    </w:p>
    <w:p w:rsidR="00711256" w:rsidRDefault="00711256" w:rsidP="00711256">
      <w:pPr>
        <w:jc w:val="both"/>
        <w:rPr>
          <w:rFonts w:ascii="Calibri" w:eastAsia="Calibri" w:hAnsi="Calibri"/>
          <w:i/>
        </w:rPr>
      </w:pPr>
      <w:proofErr w:type="gramStart"/>
      <w:r w:rsidRPr="00970E19">
        <w:rPr>
          <w:rFonts w:ascii="Calibri" w:eastAsia="Calibri" w:hAnsi="Calibri"/>
        </w:rPr>
        <w:t>Anthony, W.</w:t>
      </w:r>
      <w:r w:rsidR="00EB335F">
        <w:rPr>
          <w:rFonts w:ascii="Calibri" w:eastAsia="Calibri" w:hAnsi="Calibri"/>
        </w:rPr>
        <w:t xml:space="preserve"> </w:t>
      </w:r>
      <w:r w:rsidRPr="00970E19">
        <w:rPr>
          <w:rFonts w:ascii="Calibri" w:eastAsia="Calibri" w:hAnsi="Calibri"/>
        </w:rPr>
        <w:t>(1993).</w:t>
      </w:r>
      <w:proofErr w:type="gramEnd"/>
      <w:r w:rsidRPr="00970E19">
        <w:rPr>
          <w:rFonts w:ascii="Calibri" w:eastAsia="Calibri" w:hAnsi="Calibri"/>
        </w:rPr>
        <w:t xml:space="preserve"> Recovery from mental illness: The guiding vision of the mental health service system in the 1990’s. </w:t>
      </w:r>
      <w:r w:rsidRPr="00970E19">
        <w:rPr>
          <w:rFonts w:ascii="Calibri" w:eastAsia="Calibri" w:hAnsi="Calibri"/>
          <w:i/>
        </w:rPr>
        <w:t xml:space="preserve">Innovations and Research, </w:t>
      </w:r>
      <w:r w:rsidRPr="00970E19">
        <w:rPr>
          <w:rFonts w:ascii="Calibri" w:eastAsia="Calibri" w:hAnsi="Calibri"/>
        </w:rPr>
        <w:t>2, 17-24</w:t>
      </w:r>
      <w:r w:rsidRPr="00970E19">
        <w:rPr>
          <w:rFonts w:ascii="Calibri" w:eastAsia="Calibri" w:hAnsi="Calibri"/>
          <w:i/>
        </w:rPr>
        <w:t>.</w:t>
      </w:r>
    </w:p>
    <w:p w:rsidR="00C1326B" w:rsidRPr="00EB335F" w:rsidRDefault="00C1326B" w:rsidP="00711256">
      <w:pPr>
        <w:jc w:val="both"/>
        <w:rPr>
          <w:rFonts w:ascii="Calibri" w:eastAsia="Calibri" w:hAnsi="Calibri"/>
          <w:lang w:val="en-GB"/>
        </w:rPr>
      </w:pPr>
      <w:proofErr w:type="gramStart"/>
      <w:r w:rsidRPr="00C1326B">
        <w:rPr>
          <w:rFonts w:ascii="Calibri" w:eastAsia="Calibri" w:hAnsi="Calibri"/>
          <w:lang w:val="en-GB"/>
        </w:rPr>
        <w:t>Becker, D.R. and Drake, R.E. (1994)</w:t>
      </w:r>
      <w:r w:rsidR="00EB335F">
        <w:rPr>
          <w:rFonts w:ascii="Calibri" w:eastAsia="Calibri" w:hAnsi="Calibri"/>
          <w:lang w:val="en-GB"/>
        </w:rPr>
        <w:t>.</w:t>
      </w:r>
      <w:proofErr w:type="gramEnd"/>
      <w:r w:rsidRPr="00C1326B">
        <w:rPr>
          <w:rFonts w:ascii="Calibri" w:eastAsia="Calibri" w:hAnsi="Calibri"/>
          <w:lang w:val="en-GB"/>
        </w:rPr>
        <w:t xml:space="preserve"> Individual Placement and Support: A community mental health </w:t>
      </w:r>
      <w:proofErr w:type="spellStart"/>
      <w:r w:rsidRPr="00C1326B">
        <w:rPr>
          <w:rFonts w:ascii="Calibri" w:eastAsia="Calibri" w:hAnsi="Calibri"/>
          <w:lang w:val="en-GB"/>
        </w:rPr>
        <w:t>center</w:t>
      </w:r>
      <w:proofErr w:type="spellEnd"/>
      <w:r w:rsidRPr="00C1326B">
        <w:rPr>
          <w:rFonts w:ascii="Calibri" w:eastAsia="Calibri" w:hAnsi="Calibri"/>
          <w:lang w:val="en-GB"/>
        </w:rPr>
        <w:t xml:space="preserve"> approach to vocational rehabilitation. </w:t>
      </w:r>
      <w:r w:rsidRPr="00C1326B">
        <w:rPr>
          <w:rFonts w:ascii="Calibri" w:eastAsia="Calibri" w:hAnsi="Calibri"/>
          <w:i/>
          <w:iCs/>
          <w:lang w:val="en-GB"/>
        </w:rPr>
        <w:t>Community Mental Health Journal,</w:t>
      </w:r>
      <w:r w:rsidRPr="00C1326B">
        <w:rPr>
          <w:rFonts w:ascii="Calibri" w:eastAsia="Calibri" w:hAnsi="Calibri"/>
          <w:i/>
          <w:lang w:val="en-GB"/>
        </w:rPr>
        <w:t xml:space="preserve"> </w:t>
      </w:r>
      <w:r w:rsidRPr="00EB335F">
        <w:rPr>
          <w:rFonts w:ascii="Calibri" w:eastAsia="Calibri" w:hAnsi="Calibri"/>
          <w:lang w:val="en-GB"/>
        </w:rPr>
        <w:t xml:space="preserve">30 (2), 193-206. </w:t>
      </w:r>
    </w:p>
    <w:p w:rsidR="00711256" w:rsidRPr="00970E19" w:rsidRDefault="00711256" w:rsidP="00711256">
      <w:pPr>
        <w:jc w:val="both"/>
        <w:rPr>
          <w:rFonts w:ascii="Calibri" w:eastAsia="Calibri" w:hAnsi="Calibri"/>
        </w:rPr>
      </w:pPr>
      <w:r w:rsidRPr="00970E19">
        <w:rPr>
          <w:rFonts w:ascii="Calibri" w:eastAsia="Calibri" w:hAnsi="Calibri"/>
        </w:rPr>
        <w:t>Blank, A</w:t>
      </w:r>
      <w:proofErr w:type="gramStart"/>
      <w:r w:rsidRPr="00970E19">
        <w:rPr>
          <w:rFonts w:ascii="Calibri" w:eastAsia="Calibri" w:hAnsi="Calibri"/>
        </w:rPr>
        <w:t>.,</w:t>
      </w:r>
      <w:proofErr w:type="gramEnd"/>
      <w:r w:rsidRPr="00970E19">
        <w:rPr>
          <w:rFonts w:ascii="Calibri" w:eastAsia="Calibri" w:hAnsi="Calibri"/>
        </w:rPr>
        <w:t xml:space="preserve"> Harries, P. and Reynolds, F. (2011). Mental health service users' perspectives of work: a review of the literature. </w:t>
      </w:r>
      <w:proofErr w:type="gramStart"/>
      <w:r w:rsidRPr="00970E19">
        <w:rPr>
          <w:rFonts w:ascii="Calibri" w:eastAsia="Calibri" w:hAnsi="Calibri"/>
          <w:i/>
        </w:rPr>
        <w:t>British Journal of Occupational Therapy</w:t>
      </w:r>
      <w:r w:rsidR="00EB335F" w:rsidRPr="00970E19">
        <w:rPr>
          <w:rFonts w:ascii="Calibri" w:eastAsia="Calibri" w:hAnsi="Calibri"/>
          <w:i/>
        </w:rPr>
        <w:t>, 74</w:t>
      </w:r>
      <w:r w:rsidRPr="00970E19">
        <w:rPr>
          <w:rFonts w:ascii="Calibri" w:eastAsia="Calibri" w:hAnsi="Calibri"/>
        </w:rPr>
        <w:t xml:space="preserve"> (4), 191- 199</w:t>
      </w:r>
      <w:r w:rsidRPr="00970E19">
        <w:rPr>
          <w:rFonts w:ascii="Calibri" w:eastAsia="Calibri" w:hAnsi="Calibri"/>
          <w:i/>
        </w:rPr>
        <w:t>.</w:t>
      </w:r>
      <w:proofErr w:type="gramEnd"/>
    </w:p>
    <w:p w:rsidR="00711256" w:rsidRDefault="00711256" w:rsidP="00711256">
      <w:pPr>
        <w:jc w:val="both"/>
        <w:rPr>
          <w:rFonts w:ascii="Calibri" w:eastAsia="Calibri" w:hAnsi="Calibri"/>
        </w:rPr>
      </w:pPr>
      <w:proofErr w:type="gramStart"/>
      <w:r w:rsidRPr="00970E19">
        <w:rPr>
          <w:rFonts w:ascii="Calibri" w:eastAsia="Calibri" w:hAnsi="Calibri"/>
        </w:rPr>
        <w:t>Borg, M. and Kristiansen, K. (2008).</w:t>
      </w:r>
      <w:proofErr w:type="gramEnd"/>
      <w:r w:rsidRPr="00970E19">
        <w:rPr>
          <w:rFonts w:ascii="Calibri" w:eastAsia="Calibri" w:hAnsi="Calibri"/>
        </w:rPr>
        <w:t xml:space="preserve"> </w:t>
      </w:r>
      <w:proofErr w:type="gramStart"/>
      <w:r w:rsidRPr="00970E19">
        <w:rPr>
          <w:rFonts w:ascii="Calibri" w:eastAsia="Calibri" w:hAnsi="Calibri"/>
        </w:rPr>
        <w:t>Working on the edge: The meaning of work for people recovering from severe mental distress in Norway.</w:t>
      </w:r>
      <w:proofErr w:type="gramEnd"/>
      <w:r w:rsidRPr="00970E19">
        <w:rPr>
          <w:rFonts w:ascii="Calibri" w:eastAsia="Calibri" w:hAnsi="Calibri"/>
        </w:rPr>
        <w:t xml:space="preserve"> </w:t>
      </w:r>
      <w:proofErr w:type="gramStart"/>
      <w:r w:rsidRPr="00970E19">
        <w:rPr>
          <w:rFonts w:ascii="Calibri" w:eastAsia="Calibri" w:hAnsi="Calibri"/>
          <w:i/>
          <w:iCs/>
        </w:rPr>
        <w:t>Disability and Society.</w:t>
      </w:r>
      <w:proofErr w:type="gramEnd"/>
      <w:r w:rsidRPr="00970E19">
        <w:rPr>
          <w:rFonts w:ascii="Calibri" w:eastAsia="Calibri" w:hAnsi="Calibri"/>
          <w:i/>
          <w:iCs/>
        </w:rPr>
        <w:t xml:space="preserve"> </w:t>
      </w:r>
      <w:r w:rsidRPr="00970E19">
        <w:rPr>
          <w:rFonts w:ascii="Calibri" w:eastAsia="Calibri" w:hAnsi="Calibri"/>
          <w:iCs/>
        </w:rPr>
        <w:t>23(5), 511-523</w:t>
      </w:r>
      <w:r w:rsidRPr="00970E19">
        <w:rPr>
          <w:rFonts w:ascii="Calibri" w:eastAsia="Calibri" w:hAnsi="Calibri"/>
        </w:rPr>
        <w:t xml:space="preserve">. </w:t>
      </w:r>
    </w:p>
    <w:p w:rsidR="00C1326B" w:rsidRPr="00C1326B" w:rsidRDefault="00C1326B" w:rsidP="00711256">
      <w:pPr>
        <w:jc w:val="both"/>
        <w:rPr>
          <w:rFonts w:ascii="Calibri" w:eastAsia="Calibri" w:hAnsi="Calibri"/>
          <w:lang w:val="en-GB"/>
        </w:rPr>
      </w:pPr>
      <w:proofErr w:type="gramStart"/>
      <w:r w:rsidRPr="00C1326B">
        <w:rPr>
          <w:rFonts w:ascii="Calibri" w:eastAsia="Calibri" w:hAnsi="Calibri"/>
          <w:lang w:val="en-GB"/>
        </w:rPr>
        <w:t>Boyce, M., Secker, J., Johnson, R., Floyd, M., Grove, B., Sch</w:t>
      </w:r>
      <w:r w:rsidR="00EB335F">
        <w:rPr>
          <w:rFonts w:ascii="Calibri" w:eastAsia="Calibri" w:hAnsi="Calibri"/>
          <w:lang w:val="en-GB"/>
        </w:rPr>
        <w:t>neider, J. and Slade, J. (2008).</w:t>
      </w:r>
      <w:proofErr w:type="gramEnd"/>
      <w:r w:rsidR="006911AB">
        <w:rPr>
          <w:rFonts w:ascii="Calibri" w:eastAsia="Calibri" w:hAnsi="Calibri"/>
          <w:lang w:val="en-GB"/>
        </w:rPr>
        <w:t xml:space="preserve"> </w:t>
      </w:r>
      <w:r w:rsidRPr="00C1326B">
        <w:rPr>
          <w:rFonts w:ascii="Calibri" w:eastAsia="Calibri" w:hAnsi="Calibri"/>
          <w:lang w:val="en-GB"/>
        </w:rPr>
        <w:t xml:space="preserve">Mental health service users' experiences of returning to paid employment. </w:t>
      </w:r>
      <w:proofErr w:type="gramStart"/>
      <w:r w:rsidRPr="00C1326B">
        <w:rPr>
          <w:rFonts w:ascii="Calibri" w:eastAsia="Calibri" w:hAnsi="Calibri"/>
          <w:i/>
          <w:iCs/>
          <w:lang w:val="en-GB"/>
        </w:rPr>
        <w:t>Disability and Society.</w:t>
      </w:r>
      <w:proofErr w:type="gramEnd"/>
      <w:r w:rsidRPr="00C1326B">
        <w:rPr>
          <w:rFonts w:ascii="Calibri" w:eastAsia="Calibri" w:hAnsi="Calibri"/>
          <w:i/>
          <w:iCs/>
          <w:lang w:val="en-GB"/>
        </w:rPr>
        <w:t xml:space="preserve"> </w:t>
      </w:r>
      <w:r w:rsidRPr="00EB335F">
        <w:rPr>
          <w:rFonts w:ascii="Calibri" w:eastAsia="Calibri" w:hAnsi="Calibri"/>
          <w:iCs/>
          <w:lang w:val="en-GB"/>
        </w:rPr>
        <w:t>23(1), 77-88.</w:t>
      </w:r>
      <w:r w:rsidRPr="00C1326B">
        <w:rPr>
          <w:rFonts w:ascii="Calibri" w:eastAsia="Calibri" w:hAnsi="Calibri"/>
          <w:i/>
          <w:iCs/>
          <w:lang w:val="en-GB"/>
        </w:rPr>
        <w:t xml:space="preserve"> </w:t>
      </w:r>
    </w:p>
    <w:p w:rsidR="00711256" w:rsidRPr="00970E19" w:rsidRDefault="00711256" w:rsidP="00711256">
      <w:pPr>
        <w:jc w:val="both"/>
        <w:rPr>
          <w:rFonts w:ascii="Calibri" w:eastAsia="Calibri" w:hAnsi="Calibri"/>
        </w:rPr>
      </w:pPr>
      <w:r w:rsidRPr="00970E19">
        <w:rPr>
          <w:rFonts w:ascii="Calibri" w:eastAsia="Calibri" w:hAnsi="Calibri"/>
        </w:rPr>
        <w:t xml:space="preserve">Breakwell, G. (1986). </w:t>
      </w:r>
      <w:proofErr w:type="gramStart"/>
      <w:r w:rsidRPr="00970E19">
        <w:rPr>
          <w:rFonts w:ascii="Calibri" w:eastAsia="Calibri" w:hAnsi="Calibri"/>
          <w:i/>
        </w:rPr>
        <w:t>Coping with threatened identities.</w:t>
      </w:r>
      <w:proofErr w:type="gramEnd"/>
      <w:r w:rsidRPr="00970E19">
        <w:rPr>
          <w:rFonts w:ascii="Calibri" w:eastAsia="Calibri" w:hAnsi="Calibri"/>
        </w:rPr>
        <w:t xml:space="preserve"> London</w:t>
      </w:r>
      <w:r w:rsidRPr="00970E19">
        <w:rPr>
          <w:rFonts w:ascii="Calibri" w:eastAsia="Calibri" w:hAnsi="Calibri"/>
          <w:i/>
          <w:iCs/>
        </w:rPr>
        <w:t>:</w:t>
      </w:r>
      <w:r w:rsidRPr="00970E19">
        <w:rPr>
          <w:rFonts w:ascii="Calibri" w:eastAsia="Calibri" w:hAnsi="Calibri"/>
        </w:rPr>
        <w:t xml:space="preserve"> Methuen.</w:t>
      </w:r>
    </w:p>
    <w:p w:rsidR="00711256" w:rsidRPr="00970E19" w:rsidRDefault="00711256" w:rsidP="00711256">
      <w:pPr>
        <w:jc w:val="both"/>
        <w:rPr>
          <w:rFonts w:ascii="Calibri" w:eastAsia="Calibri" w:hAnsi="Calibri"/>
        </w:rPr>
      </w:pPr>
      <w:proofErr w:type="gramStart"/>
      <w:r w:rsidRPr="00970E19">
        <w:rPr>
          <w:rFonts w:ascii="Calibri" w:eastAsia="Calibri" w:hAnsi="Calibri"/>
        </w:rPr>
        <w:t>Christiansen, C.H. and Bryan, G.T. (1999).</w:t>
      </w:r>
      <w:proofErr w:type="gramEnd"/>
      <w:r w:rsidRPr="00970E19">
        <w:rPr>
          <w:rFonts w:ascii="Calibri" w:eastAsia="Calibri" w:hAnsi="Calibri"/>
        </w:rPr>
        <w:t xml:space="preserve"> Defining lives: Occupation as identity: An essay on competence, coherence, and the creation of meaning. </w:t>
      </w:r>
      <w:proofErr w:type="gramStart"/>
      <w:r w:rsidRPr="00970E19">
        <w:rPr>
          <w:rFonts w:ascii="Calibri" w:eastAsia="Calibri" w:hAnsi="Calibri"/>
          <w:i/>
          <w:iCs/>
        </w:rPr>
        <w:t>American Journal of Occupational Therapy.</w:t>
      </w:r>
      <w:proofErr w:type="gramEnd"/>
      <w:r w:rsidRPr="00970E19">
        <w:rPr>
          <w:rFonts w:ascii="Calibri" w:eastAsia="Calibri" w:hAnsi="Calibri"/>
          <w:i/>
          <w:iCs/>
        </w:rPr>
        <w:t xml:space="preserve"> </w:t>
      </w:r>
      <w:r w:rsidRPr="00970E19">
        <w:rPr>
          <w:rFonts w:ascii="Calibri" w:eastAsia="Calibri" w:hAnsi="Calibri"/>
          <w:iCs/>
        </w:rPr>
        <w:t>53(6), 547-558</w:t>
      </w:r>
      <w:r w:rsidRPr="00970E19">
        <w:rPr>
          <w:rFonts w:ascii="Calibri" w:eastAsia="Calibri" w:hAnsi="Calibri"/>
          <w:i/>
          <w:iCs/>
        </w:rPr>
        <w:t xml:space="preserve">. </w:t>
      </w:r>
    </w:p>
    <w:p w:rsidR="00711256" w:rsidRDefault="00711256" w:rsidP="00711256">
      <w:pPr>
        <w:jc w:val="both"/>
        <w:rPr>
          <w:rFonts w:ascii="Calibri" w:eastAsia="Calibri" w:hAnsi="Calibri"/>
        </w:rPr>
      </w:pPr>
      <w:r w:rsidRPr="00970E19">
        <w:rPr>
          <w:rFonts w:ascii="Calibri" w:eastAsia="Calibri" w:hAnsi="Calibri"/>
        </w:rPr>
        <w:t xml:space="preserve">Christiansen, C. (2004). Occupational Identity: Becoming Who We Are Through What We Do. In Christiansen, C., and Townsend, E. (Eds.) </w:t>
      </w:r>
      <w:r w:rsidRPr="00970E19">
        <w:rPr>
          <w:rFonts w:ascii="Calibri" w:eastAsia="Calibri" w:hAnsi="Calibri"/>
          <w:i/>
        </w:rPr>
        <w:t xml:space="preserve">Introduction to Occupation. The Art and Science of Living, </w:t>
      </w:r>
      <w:r w:rsidRPr="00970E19">
        <w:rPr>
          <w:rFonts w:ascii="Calibri" w:eastAsia="Calibri" w:hAnsi="Calibri"/>
        </w:rPr>
        <w:t>pp 121-139</w:t>
      </w:r>
      <w:r w:rsidRPr="00970E19">
        <w:rPr>
          <w:rFonts w:ascii="Calibri" w:eastAsia="Calibri" w:hAnsi="Calibri"/>
          <w:i/>
        </w:rPr>
        <w:t xml:space="preserve">.  </w:t>
      </w:r>
      <w:r w:rsidRPr="00970E19">
        <w:rPr>
          <w:rFonts w:ascii="Calibri" w:eastAsia="Calibri" w:hAnsi="Calibri"/>
        </w:rPr>
        <w:t xml:space="preserve">New Jersey: Prentice Hall. </w:t>
      </w:r>
    </w:p>
    <w:p w:rsidR="00374166" w:rsidRPr="00374166" w:rsidRDefault="00374166" w:rsidP="00711256">
      <w:pPr>
        <w:jc w:val="both"/>
        <w:rPr>
          <w:rFonts w:ascii="Calibri" w:eastAsia="Calibri" w:hAnsi="Calibri"/>
        </w:rPr>
      </w:pPr>
      <w:proofErr w:type="gramStart"/>
      <w:r>
        <w:rPr>
          <w:rFonts w:ascii="Calibri" w:eastAsia="Calibri" w:hAnsi="Calibri"/>
        </w:rPr>
        <w:t>Christiansen, C. and Townsend, E. (2010).</w:t>
      </w:r>
      <w:proofErr w:type="gramEnd"/>
      <w:r>
        <w:rPr>
          <w:rFonts w:ascii="Calibri" w:eastAsia="Calibri" w:hAnsi="Calibri"/>
        </w:rPr>
        <w:t xml:space="preserve"> </w:t>
      </w:r>
      <w:r>
        <w:rPr>
          <w:rFonts w:ascii="Calibri" w:eastAsia="Calibri" w:hAnsi="Calibri"/>
          <w:i/>
        </w:rPr>
        <w:t xml:space="preserve">Introduction to occupation: The art and science of living </w:t>
      </w:r>
      <w:r>
        <w:rPr>
          <w:rFonts w:ascii="Calibri" w:eastAsia="Calibri" w:hAnsi="Calibri"/>
        </w:rPr>
        <w:t>(2</w:t>
      </w:r>
      <w:r w:rsidRPr="00374166">
        <w:rPr>
          <w:rFonts w:ascii="Calibri" w:eastAsia="Calibri" w:hAnsi="Calibri"/>
          <w:vertAlign w:val="superscript"/>
        </w:rPr>
        <w:t>nd</w:t>
      </w:r>
      <w:r>
        <w:rPr>
          <w:rFonts w:ascii="Calibri" w:eastAsia="Calibri" w:hAnsi="Calibri"/>
        </w:rPr>
        <w:t xml:space="preserve"> </w:t>
      </w:r>
      <w:proofErr w:type="spellStart"/>
      <w:proofErr w:type="gramStart"/>
      <w:r>
        <w:rPr>
          <w:rFonts w:ascii="Calibri" w:eastAsia="Calibri" w:hAnsi="Calibri"/>
        </w:rPr>
        <w:t>ed</w:t>
      </w:r>
      <w:proofErr w:type="spellEnd"/>
      <w:proofErr w:type="gramEnd"/>
      <w:r>
        <w:rPr>
          <w:rFonts w:ascii="Calibri" w:eastAsia="Calibri" w:hAnsi="Calibri"/>
        </w:rPr>
        <w:t xml:space="preserve">). </w:t>
      </w:r>
      <w:proofErr w:type="gramStart"/>
      <w:r>
        <w:rPr>
          <w:rFonts w:ascii="Calibri" w:eastAsia="Calibri" w:hAnsi="Calibri"/>
        </w:rPr>
        <w:t>Upper Saddle River.</w:t>
      </w:r>
      <w:proofErr w:type="gramEnd"/>
      <w:r>
        <w:rPr>
          <w:rFonts w:ascii="Calibri" w:eastAsia="Calibri" w:hAnsi="Calibri"/>
        </w:rPr>
        <w:t xml:space="preserve"> </w:t>
      </w:r>
      <w:proofErr w:type="spellStart"/>
      <w:r>
        <w:rPr>
          <w:rFonts w:ascii="Calibri" w:eastAsia="Calibri" w:hAnsi="Calibri"/>
        </w:rPr>
        <w:t>NJ</w:t>
      </w:r>
      <w:proofErr w:type="gramStart"/>
      <w:r>
        <w:rPr>
          <w:rFonts w:ascii="Calibri" w:eastAsia="Calibri" w:hAnsi="Calibri"/>
        </w:rPr>
        <w:t>:Prentice</w:t>
      </w:r>
      <w:proofErr w:type="spellEnd"/>
      <w:proofErr w:type="gramEnd"/>
      <w:r>
        <w:rPr>
          <w:rFonts w:ascii="Calibri" w:eastAsia="Calibri" w:hAnsi="Calibri"/>
        </w:rPr>
        <w:t xml:space="preserve"> Hall.</w:t>
      </w:r>
    </w:p>
    <w:p w:rsidR="00C1326B" w:rsidRPr="00C1326B" w:rsidRDefault="00C1326B" w:rsidP="00C1326B">
      <w:pPr>
        <w:jc w:val="both"/>
        <w:rPr>
          <w:rFonts w:ascii="Calibri" w:eastAsia="Calibri" w:hAnsi="Calibri"/>
          <w:lang w:val="en-GB"/>
        </w:rPr>
      </w:pPr>
      <w:proofErr w:type="gramStart"/>
      <w:r w:rsidRPr="00C1326B">
        <w:rPr>
          <w:rFonts w:ascii="Calibri" w:eastAsia="Calibri" w:hAnsi="Calibri"/>
          <w:lang w:val="en-GB"/>
        </w:rPr>
        <w:t>Davidson, L., Borg, M., Marin, I., Topor, A., Mezzina, R., and Sells, D. (2005).</w:t>
      </w:r>
      <w:proofErr w:type="gramEnd"/>
      <w:r w:rsidRPr="00C1326B">
        <w:rPr>
          <w:rFonts w:ascii="Calibri" w:eastAsia="Calibri" w:hAnsi="Calibri"/>
          <w:lang w:val="en-GB"/>
        </w:rPr>
        <w:t xml:space="preserve"> Processes of Recovery in Serious Mental Illness: Findings from a multinational study. </w:t>
      </w:r>
      <w:r w:rsidRPr="00C1326B">
        <w:rPr>
          <w:rFonts w:ascii="Calibri" w:eastAsia="Calibri" w:hAnsi="Calibri"/>
          <w:i/>
          <w:lang w:val="en-GB"/>
        </w:rPr>
        <w:t xml:space="preserve">American Journal of Psychiatric Rehabilitation, </w:t>
      </w:r>
      <w:r w:rsidRPr="00EB335F">
        <w:rPr>
          <w:rFonts w:ascii="Calibri" w:eastAsia="Calibri" w:hAnsi="Calibri"/>
          <w:lang w:val="en-GB"/>
        </w:rPr>
        <w:t>8(3), 177–202.</w:t>
      </w:r>
    </w:p>
    <w:p w:rsidR="00711256" w:rsidRDefault="00711256" w:rsidP="00711256">
      <w:pPr>
        <w:jc w:val="both"/>
        <w:rPr>
          <w:rFonts w:ascii="Calibri" w:eastAsia="Calibri" w:hAnsi="Calibri"/>
        </w:rPr>
      </w:pPr>
      <w:r w:rsidRPr="00970E19">
        <w:rPr>
          <w:rFonts w:ascii="Calibri" w:eastAsia="Calibri" w:hAnsi="Calibri"/>
        </w:rPr>
        <w:t>Dean, S., Smith, J. and Payne, S. (2006). Low back pain: exploring the meaning of exercise management through interpretative phenomenological analysis (IPA). In: Finlay, L. and Ballinger, C. (</w:t>
      </w:r>
      <w:proofErr w:type="spellStart"/>
      <w:r w:rsidRPr="00970E19">
        <w:rPr>
          <w:rFonts w:ascii="Calibri" w:eastAsia="Calibri" w:hAnsi="Calibri"/>
        </w:rPr>
        <w:t>Eds</w:t>
      </w:r>
      <w:proofErr w:type="spellEnd"/>
      <w:r w:rsidRPr="00970E19">
        <w:rPr>
          <w:rFonts w:ascii="Calibri" w:eastAsia="Calibri" w:hAnsi="Calibri"/>
        </w:rPr>
        <w:t>).</w:t>
      </w:r>
      <w:r w:rsidRPr="00970E19">
        <w:rPr>
          <w:rFonts w:ascii="Calibri" w:eastAsia="Calibri" w:hAnsi="Calibri"/>
          <w:i/>
        </w:rPr>
        <w:t xml:space="preserve"> Qualitative research for allied health professionals: challenging choices, </w:t>
      </w:r>
      <w:r w:rsidRPr="00970E19">
        <w:rPr>
          <w:rFonts w:ascii="Calibri" w:eastAsia="Calibri" w:hAnsi="Calibri"/>
        </w:rPr>
        <w:t>pp 139-155.</w:t>
      </w:r>
      <w:r w:rsidRPr="00970E19">
        <w:rPr>
          <w:rFonts w:ascii="Calibri" w:eastAsia="Calibri" w:hAnsi="Calibri"/>
          <w:i/>
        </w:rPr>
        <w:t xml:space="preserve"> </w:t>
      </w:r>
      <w:proofErr w:type="spellStart"/>
      <w:r w:rsidRPr="00970E19">
        <w:rPr>
          <w:rFonts w:ascii="Calibri" w:eastAsia="Calibri" w:hAnsi="Calibri"/>
        </w:rPr>
        <w:t>Chichester</w:t>
      </w:r>
      <w:proofErr w:type="spellEnd"/>
      <w:r w:rsidRPr="00970E19">
        <w:rPr>
          <w:rFonts w:ascii="Calibri" w:eastAsia="Calibri" w:hAnsi="Calibri"/>
        </w:rPr>
        <w:t xml:space="preserve">: Wiley. </w:t>
      </w:r>
    </w:p>
    <w:p w:rsidR="00C1326B" w:rsidRPr="00C1326B" w:rsidRDefault="00C1326B" w:rsidP="00C1326B">
      <w:pPr>
        <w:jc w:val="both"/>
        <w:rPr>
          <w:rFonts w:ascii="Calibri" w:eastAsia="Calibri" w:hAnsi="Calibri"/>
          <w:lang w:val="en-GB"/>
        </w:rPr>
      </w:pPr>
      <w:proofErr w:type="gramStart"/>
      <w:r w:rsidRPr="00C1326B">
        <w:rPr>
          <w:rFonts w:ascii="Calibri" w:eastAsia="Calibri" w:hAnsi="Calibri"/>
          <w:lang w:val="en-GB"/>
        </w:rPr>
        <w:t>Dunn, E.C., Wewiorski, N.J. and Rogers, E.S. (2008).</w:t>
      </w:r>
      <w:proofErr w:type="gramEnd"/>
      <w:r w:rsidRPr="00C1326B">
        <w:rPr>
          <w:rFonts w:ascii="Calibri" w:eastAsia="Calibri" w:hAnsi="Calibri"/>
          <w:lang w:val="en-GB"/>
        </w:rPr>
        <w:t xml:space="preserve"> The Meaning and Importance of Employment to People in Recovery from Serious Mental Illness: Results of a Qualitative Study. </w:t>
      </w:r>
      <w:proofErr w:type="gramStart"/>
      <w:r w:rsidRPr="00C1326B">
        <w:rPr>
          <w:rFonts w:ascii="Calibri" w:eastAsia="Calibri" w:hAnsi="Calibri"/>
          <w:i/>
          <w:iCs/>
          <w:lang w:val="en-GB"/>
        </w:rPr>
        <w:t xml:space="preserve">Psychiatric rehabilitation journal, </w:t>
      </w:r>
      <w:r w:rsidRPr="00EB335F">
        <w:rPr>
          <w:rFonts w:ascii="Calibri" w:eastAsia="Calibri" w:hAnsi="Calibri"/>
          <w:iCs/>
          <w:lang w:val="en-GB"/>
        </w:rPr>
        <w:t>32(1), 59-62.</w:t>
      </w:r>
      <w:proofErr w:type="gramEnd"/>
      <w:r w:rsidRPr="00C1326B">
        <w:rPr>
          <w:rFonts w:ascii="Calibri" w:eastAsia="Calibri" w:hAnsi="Calibri"/>
          <w:i/>
          <w:iCs/>
          <w:lang w:val="en-GB"/>
        </w:rPr>
        <w:t xml:space="preserve"> </w:t>
      </w:r>
    </w:p>
    <w:p w:rsidR="00C1326B" w:rsidRDefault="00C1326B" w:rsidP="00C1326B">
      <w:pPr>
        <w:jc w:val="both"/>
        <w:rPr>
          <w:rFonts w:ascii="Calibri" w:eastAsia="Calibri" w:hAnsi="Calibri"/>
          <w:i/>
          <w:iCs/>
          <w:lang w:val="en-GB"/>
        </w:rPr>
      </w:pPr>
      <w:proofErr w:type="gramStart"/>
      <w:r w:rsidRPr="00C1326B">
        <w:rPr>
          <w:rFonts w:ascii="Calibri" w:eastAsia="Calibri" w:hAnsi="Calibri"/>
          <w:lang w:val="en-GB"/>
        </w:rPr>
        <w:lastRenderedPageBreak/>
        <w:t>Dunn, E., Wewiorski, J. and Rogers, E. (2010).</w:t>
      </w:r>
      <w:proofErr w:type="gramEnd"/>
      <w:r w:rsidRPr="00C1326B">
        <w:rPr>
          <w:rFonts w:ascii="Calibri" w:eastAsia="Calibri" w:hAnsi="Calibri"/>
          <w:lang w:val="en-GB"/>
        </w:rPr>
        <w:t xml:space="preserve"> A Qualitative Investigation of Individual and Contextual Factors Associated with Vocational Recovery Among People with Serious Mental Illness. </w:t>
      </w:r>
      <w:r w:rsidRPr="00C1326B">
        <w:rPr>
          <w:rFonts w:ascii="Calibri" w:eastAsia="Calibri" w:hAnsi="Calibri"/>
          <w:i/>
          <w:iCs/>
          <w:lang w:val="en-GB"/>
        </w:rPr>
        <w:t xml:space="preserve">American Journal of Orthopsychiatry, </w:t>
      </w:r>
      <w:r w:rsidRPr="00EB335F">
        <w:rPr>
          <w:rFonts w:ascii="Calibri" w:eastAsia="Calibri" w:hAnsi="Calibri"/>
          <w:iCs/>
          <w:lang w:val="en-GB"/>
        </w:rPr>
        <w:t>80(2), 185-194.</w:t>
      </w:r>
      <w:r w:rsidRPr="00C1326B">
        <w:rPr>
          <w:rFonts w:ascii="Calibri" w:eastAsia="Calibri" w:hAnsi="Calibri"/>
          <w:i/>
          <w:iCs/>
          <w:lang w:val="en-GB"/>
        </w:rPr>
        <w:t xml:space="preserve"> </w:t>
      </w:r>
    </w:p>
    <w:p w:rsidR="00F10707" w:rsidRPr="00F10707" w:rsidRDefault="00F10707" w:rsidP="00C1326B">
      <w:pPr>
        <w:jc w:val="both"/>
        <w:rPr>
          <w:rFonts w:ascii="Calibri" w:eastAsia="Calibri" w:hAnsi="Calibri"/>
          <w:i/>
          <w:iCs/>
          <w:lang w:val="en-GB"/>
        </w:rPr>
      </w:pPr>
      <w:r>
        <w:rPr>
          <w:rFonts w:ascii="Calibri" w:eastAsia="Calibri" w:hAnsi="Calibri"/>
          <w:iCs/>
          <w:lang w:val="en-GB"/>
        </w:rPr>
        <w:t xml:space="preserve">Fields, D. (2011). </w:t>
      </w:r>
      <w:proofErr w:type="gramStart"/>
      <w:r>
        <w:rPr>
          <w:rFonts w:ascii="Calibri" w:eastAsia="Calibri" w:hAnsi="Calibri"/>
          <w:i/>
          <w:iCs/>
          <w:lang w:val="en-GB"/>
        </w:rPr>
        <w:t xml:space="preserve">Emotion, Space and Society, </w:t>
      </w:r>
      <w:r w:rsidRPr="00EB335F">
        <w:rPr>
          <w:rFonts w:ascii="Calibri" w:eastAsia="Calibri" w:hAnsi="Calibri"/>
          <w:iCs/>
          <w:lang w:val="en-GB"/>
        </w:rPr>
        <w:t>4,268-267.</w:t>
      </w:r>
      <w:proofErr w:type="gramEnd"/>
    </w:p>
    <w:p w:rsidR="00711256" w:rsidRDefault="00711256" w:rsidP="00711256">
      <w:pPr>
        <w:jc w:val="both"/>
        <w:rPr>
          <w:rFonts w:ascii="Calibri" w:eastAsia="Calibri" w:hAnsi="Calibri"/>
        </w:rPr>
      </w:pPr>
      <w:r w:rsidRPr="00970E19">
        <w:rPr>
          <w:rFonts w:ascii="Calibri" w:eastAsia="Calibri" w:hAnsi="Calibri"/>
        </w:rPr>
        <w:t xml:space="preserve">Finlay, L. and </w:t>
      </w:r>
      <w:proofErr w:type="spellStart"/>
      <w:r w:rsidRPr="00970E19">
        <w:rPr>
          <w:rFonts w:ascii="Calibri" w:eastAsia="Calibri" w:hAnsi="Calibri"/>
        </w:rPr>
        <w:t>and</w:t>
      </w:r>
      <w:proofErr w:type="spellEnd"/>
      <w:r w:rsidRPr="00970E19">
        <w:rPr>
          <w:rFonts w:ascii="Calibri" w:eastAsia="Calibri" w:hAnsi="Calibri"/>
        </w:rPr>
        <w:t xml:space="preserve"> Gough, B. (2003). </w:t>
      </w:r>
      <w:r w:rsidRPr="00970E19">
        <w:rPr>
          <w:rFonts w:ascii="Calibri" w:eastAsia="Calibri" w:hAnsi="Calibri"/>
          <w:i/>
          <w:iCs/>
        </w:rPr>
        <w:t xml:space="preserve">Reflexivity: A Practical Guide for Researchers in Health and Social Sciences. </w:t>
      </w:r>
      <w:r w:rsidRPr="00970E19">
        <w:rPr>
          <w:rFonts w:ascii="Calibri" w:eastAsia="Calibri" w:hAnsi="Calibri"/>
        </w:rPr>
        <w:t xml:space="preserve">Blackwell: Oxford. </w:t>
      </w:r>
    </w:p>
    <w:p w:rsidR="00C1326B" w:rsidRPr="00C1326B" w:rsidRDefault="00C1326B" w:rsidP="00C1326B">
      <w:pPr>
        <w:jc w:val="both"/>
        <w:rPr>
          <w:rFonts w:ascii="Calibri" w:eastAsia="Calibri" w:hAnsi="Calibri"/>
          <w:lang w:val="en-GB"/>
        </w:rPr>
      </w:pPr>
      <w:proofErr w:type="gramStart"/>
      <w:r w:rsidRPr="00C1326B">
        <w:rPr>
          <w:rFonts w:ascii="Calibri" w:eastAsia="Calibri" w:hAnsi="Calibri"/>
          <w:lang w:val="en-GB"/>
        </w:rPr>
        <w:t>Gahnstrom-Strandqvist</w:t>
      </w:r>
      <w:r w:rsidR="006911AB">
        <w:rPr>
          <w:rFonts w:ascii="Calibri" w:eastAsia="Calibri" w:hAnsi="Calibri"/>
          <w:lang w:val="en-GB"/>
        </w:rPr>
        <w:t>,</w:t>
      </w:r>
      <w:r w:rsidRPr="00C1326B">
        <w:rPr>
          <w:rFonts w:ascii="Calibri" w:eastAsia="Calibri" w:hAnsi="Calibri"/>
          <w:lang w:val="en-GB"/>
        </w:rPr>
        <w:t xml:space="preserve"> K</w:t>
      </w:r>
      <w:r w:rsidR="006911AB">
        <w:rPr>
          <w:rFonts w:ascii="Calibri" w:eastAsia="Calibri" w:hAnsi="Calibri"/>
          <w:lang w:val="en-GB"/>
        </w:rPr>
        <w:t>.</w:t>
      </w:r>
      <w:r w:rsidRPr="00C1326B">
        <w:rPr>
          <w:rFonts w:ascii="Calibri" w:eastAsia="Calibri" w:hAnsi="Calibri"/>
          <w:lang w:val="en-GB"/>
        </w:rPr>
        <w:t>, Liukko</w:t>
      </w:r>
      <w:r w:rsidR="006911AB">
        <w:rPr>
          <w:rFonts w:ascii="Calibri" w:eastAsia="Calibri" w:hAnsi="Calibri"/>
          <w:lang w:val="en-GB"/>
        </w:rPr>
        <w:t>,</w:t>
      </w:r>
      <w:r w:rsidRPr="00C1326B">
        <w:rPr>
          <w:rFonts w:ascii="Calibri" w:eastAsia="Calibri" w:hAnsi="Calibri"/>
          <w:lang w:val="en-GB"/>
        </w:rPr>
        <w:t xml:space="preserve"> A</w:t>
      </w:r>
      <w:r w:rsidR="006911AB">
        <w:rPr>
          <w:rFonts w:ascii="Calibri" w:eastAsia="Calibri" w:hAnsi="Calibri"/>
          <w:lang w:val="en-GB"/>
        </w:rPr>
        <w:t>.</w:t>
      </w:r>
      <w:r w:rsidRPr="00C1326B">
        <w:rPr>
          <w:rFonts w:ascii="Calibri" w:eastAsia="Calibri" w:hAnsi="Calibri"/>
          <w:lang w:val="en-GB"/>
        </w:rPr>
        <w:t xml:space="preserve"> and Tham</w:t>
      </w:r>
      <w:r w:rsidR="006911AB">
        <w:rPr>
          <w:rFonts w:ascii="Calibri" w:eastAsia="Calibri" w:hAnsi="Calibri"/>
          <w:lang w:val="en-GB"/>
        </w:rPr>
        <w:t>,</w:t>
      </w:r>
      <w:r w:rsidRPr="00C1326B">
        <w:rPr>
          <w:rFonts w:ascii="Calibri" w:eastAsia="Calibri" w:hAnsi="Calibri"/>
          <w:lang w:val="en-GB"/>
        </w:rPr>
        <w:t xml:space="preserve"> K</w:t>
      </w:r>
      <w:r w:rsidR="006911AB">
        <w:rPr>
          <w:rFonts w:ascii="Calibri" w:eastAsia="Calibri" w:hAnsi="Calibri"/>
          <w:lang w:val="en-GB"/>
        </w:rPr>
        <w:t>.</w:t>
      </w:r>
      <w:r w:rsidRPr="00C1326B">
        <w:rPr>
          <w:rFonts w:ascii="Calibri" w:eastAsia="Calibri" w:hAnsi="Calibri"/>
          <w:lang w:val="en-GB"/>
        </w:rPr>
        <w:t xml:space="preserve"> (2003).</w:t>
      </w:r>
      <w:proofErr w:type="gramEnd"/>
      <w:r w:rsidRPr="00C1326B">
        <w:rPr>
          <w:rFonts w:ascii="Calibri" w:eastAsia="Calibri" w:hAnsi="Calibri"/>
          <w:lang w:val="en-GB"/>
        </w:rPr>
        <w:t xml:space="preserve"> The Meaning of the Working Cooperative for Person with Long-Term Mental Illness: A Phenomenological Study. </w:t>
      </w:r>
      <w:r w:rsidRPr="00C1326B">
        <w:rPr>
          <w:rFonts w:ascii="Calibri" w:eastAsia="Calibri" w:hAnsi="Calibri"/>
          <w:i/>
          <w:iCs/>
          <w:lang w:val="en-GB"/>
        </w:rPr>
        <w:t xml:space="preserve">American Journal of Occupational Therapy, </w:t>
      </w:r>
      <w:r w:rsidRPr="00EB335F">
        <w:rPr>
          <w:rFonts w:ascii="Calibri" w:eastAsia="Calibri" w:hAnsi="Calibri"/>
          <w:iCs/>
          <w:lang w:val="en-GB"/>
        </w:rPr>
        <w:t>57(3), 262-272.</w:t>
      </w:r>
      <w:r w:rsidRPr="00C1326B">
        <w:rPr>
          <w:rFonts w:ascii="Calibri" w:eastAsia="Calibri" w:hAnsi="Calibri"/>
          <w:i/>
          <w:iCs/>
          <w:lang w:val="en-GB"/>
        </w:rPr>
        <w:t xml:space="preserve"> </w:t>
      </w:r>
    </w:p>
    <w:p w:rsidR="00711256" w:rsidRPr="00970E19" w:rsidRDefault="00711256" w:rsidP="00711256">
      <w:pPr>
        <w:jc w:val="both"/>
        <w:rPr>
          <w:rFonts w:ascii="Calibri" w:eastAsia="Calibri" w:hAnsi="Calibri"/>
          <w:i/>
          <w:iCs/>
        </w:rPr>
      </w:pPr>
      <w:proofErr w:type="gramStart"/>
      <w:r w:rsidRPr="00970E19">
        <w:rPr>
          <w:rFonts w:ascii="Calibri" w:eastAsia="Calibri" w:hAnsi="Calibri"/>
        </w:rPr>
        <w:t>Gewurtz, R. and Kirsh, B. (2007).</w:t>
      </w:r>
      <w:proofErr w:type="gramEnd"/>
      <w:r w:rsidRPr="00970E19">
        <w:rPr>
          <w:rFonts w:ascii="Calibri" w:eastAsia="Calibri" w:hAnsi="Calibri"/>
        </w:rPr>
        <w:t xml:space="preserve"> How consumers of mental health services come to understand their potential for work: doing and becoming revisited. </w:t>
      </w:r>
      <w:r w:rsidRPr="00970E19">
        <w:rPr>
          <w:rFonts w:ascii="Calibri" w:eastAsia="Calibri" w:hAnsi="Calibri"/>
          <w:i/>
          <w:iCs/>
        </w:rPr>
        <w:t xml:space="preserve">Canadian Journal of Occupational Therapy, </w:t>
      </w:r>
      <w:r w:rsidRPr="00EB335F">
        <w:rPr>
          <w:rFonts w:ascii="Calibri" w:eastAsia="Calibri" w:hAnsi="Calibri"/>
          <w:iCs/>
        </w:rPr>
        <w:t>74(3), 195-207</w:t>
      </w:r>
      <w:r w:rsidRPr="00EB335F">
        <w:rPr>
          <w:rFonts w:ascii="Calibri" w:eastAsia="Calibri" w:hAnsi="Calibri"/>
        </w:rPr>
        <w:t>.</w:t>
      </w:r>
    </w:p>
    <w:p w:rsidR="00711256" w:rsidRPr="00970E19" w:rsidRDefault="00711256" w:rsidP="00711256">
      <w:pPr>
        <w:jc w:val="both"/>
        <w:rPr>
          <w:rFonts w:ascii="Calibri" w:eastAsia="Calibri" w:hAnsi="Calibri"/>
        </w:rPr>
      </w:pPr>
      <w:proofErr w:type="gramStart"/>
      <w:r w:rsidRPr="00970E19">
        <w:rPr>
          <w:rFonts w:ascii="Calibri" w:eastAsia="Calibri" w:hAnsi="Calibri"/>
        </w:rPr>
        <w:t>Giorgi, A and Giorgi, B. (2003).</w:t>
      </w:r>
      <w:proofErr w:type="gramEnd"/>
      <w:r w:rsidRPr="00970E19">
        <w:rPr>
          <w:rFonts w:ascii="Calibri" w:eastAsia="Calibri" w:hAnsi="Calibri"/>
        </w:rPr>
        <w:t xml:space="preserve"> </w:t>
      </w:r>
      <w:proofErr w:type="gramStart"/>
      <w:r w:rsidRPr="00970E19">
        <w:rPr>
          <w:rFonts w:ascii="Calibri" w:eastAsia="Calibri" w:hAnsi="Calibri"/>
        </w:rPr>
        <w:t>Phenomenology.</w:t>
      </w:r>
      <w:proofErr w:type="gramEnd"/>
      <w:r w:rsidRPr="00970E19">
        <w:rPr>
          <w:rFonts w:ascii="Calibri" w:eastAsia="Calibri" w:hAnsi="Calibri"/>
        </w:rPr>
        <w:t xml:space="preserve"> </w:t>
      </w:r>
      <w:proofErr w:type="gramStart"/>
      <w:r w:rsidRPr="00970E19">
        <w:rPr>
          <w:rFonts w:ascii="Calibri" w:eastAsia="Calibri" w:hAnsi="Calibri"/>
        </w:rPr>
        <w:t>In J.A. Smith (ed.)</w:t>
      </w:r>
      <w:r w:rsidRPr="00970E19">
        <w:rPr>
          <w:rFonts w:ascii="Calibri" w:eastAsia="Calibri" w:hAnsi="Calibri"/>
          <w:i/>
        </w:rPr>
        <w:t xml:space="preserve"> Qualitative Psychology.</w:t>
      </w:r>
      <w:proofErr w:type="gramEnd"/>
      <w:r w:rsidRPr="00970E19">
        <w:rPr>
          <w:rFonts w:ascii="Calibri" w:eastAsia="Calibri" w:hAnsi="Calibri"/>
          <w:i/>
        </w:rPr>
        <w:t xml:space="preserve"> </w:t>
      </w:r>
      <w:proofErr w:type="gramStart"/>
      <w:r w:rsidRPr="00970E19">
        <w:rPr>
          <w:rFonts w:ascii="Calibri" w:eastAsia="Calibri" w:hAnsi="Calibri"/>
          <w:i/>
        </w:rPr>
        <w:t xml:space="preserve">A Practical Guide to Research Methods, </w:t>
      </w:r>
      <w:r w:rsidRPr="00970E19">
        <w:rPr>
          <w:rFonts w:ascii="Calibri" w:eastAsia="Calibri" w:hAnsi="Calibri"/>
        </w:rPr>
        <w:t>pp26-52.</w:t>
      </w:r>
      <w:proofErr w:type="gramEnd"/>
      <w:r w:rsidRPr="00970E19">
        <w:rPr>
          <w:rFonts w:ascii="Calibri" w:eastAsia="Calibri" w:hAnsi="Calibri"/>
        </w:rPr>
        <w:t xml:space="preserve"> </w:t>
      </w:r>
      <w:r w:rsidRPr="00970E19">
        <w:rPr>
          <w:rFonts w:ascii="Calibri" w:eastAsia="Calibri" w:hAnsi="Calibri"/>
          <w:i/>
        </w:rPr>
        <w:t xml:space="preserve"> </w:t>
      </w:r>
      <w:r w:rsidRPr="00970E19">
        <w:rPr>
          <w:rFonts w:ascii="Calibri" w:eastAsia="Calibri" w:hAnsi="Calibri"/>
        </w:rPr>
        <w:t>London: Sage.</w:t>
      </w:r>
    </w:p>
    <w:p w:rsidR="00711256" w:rsidRPr="00970E19" w:rsidRDefault="00711256" w:rsidP="00711256">
      <w:pPr>
        <w:jc w:val="both"/>
        <w:rPr>
          <w:rFonts w:ascii="Calibri" w:eastAsia="Calibri" w:hAnsi="Calibri"/>
        </w:rPr>
      </w:pPr>
      <w:r w:rsidRPr="00970E19">
        <w:rPr>
          <w:rFonts w:ascii="Calibri" w:eastAsia="Calibri" w:hAnsi="Calibri"/>
        </w:rPr>
        <w:t xml:space="preserve">Goffman, E. (1963). </w:t>
      </w:r>
      <w:r w:rsidRPr="00970E19">
        <w:rPr>
          <w:rFonts w:ascii="Calibri" w:eastAsia="Calibri" w:hAnsi="Calibri"/>
          <w:i/>
        </w:rPr>
        <w:t>Stigma:</w:t>
      </w:r>
      <w:r w:rsidRPr="00970E19">
        <w:rPr>
          <w:rFonts w:ascii="Calibri" w:eastAsia="Calibri" w:hAnsi="Calibri"/>
        </w:rPr>
        <w:t xml:space="preserve"> </w:t>
      </w:r>
      <w:r w:rsidRPr="00970E19">
        <w:rPr>
          <w:rFonts w:ascii="Calibri" w:eastAsia="Calibri" w:hAnsi="Calibri"/>
          <w:i/>
        </w:rPr>
        <w:t xml:space="preserve">Notes on the management of a spoiled identity. </w:t>
      </w:r>
      <w:r w:rsidRPr="00970E19">
        <w:rPr>
          <w:rFonts w:ascii="Calibri" w:eastAsia="Calibri" w:hAnsi="Calibri"/>
        </w:rPr>
        <w:t xml:space="preserve">New Jersey: Prentice Hall. </w:t>
      </w:r>
    </w:p>
    <w:p w:rsidR="00711256" w:rsidRDefault="00711256" w:rsidP="00711256">
      <w:pPr>
        <w:jc w:val="both"/>
        <w:rPr>
          <w:rFonts w:ascii="Calibri" w:eastAsia="Calibri" w:hAnsi="Calibri"/>
        </w:rPr>
      </w:pPr>
      <w:proofErr w:type="gramStart"/>
      <w:r w:rsidRPr="00970E19">
        <w:rPr>
          <w:rFonts w:ascii="Calibri" w:eastAsia="Calibri" w:hAnsi="Calibri"/>
        </w:rPr>
        <w:t>Grove, B., Secker, J. and Seebohm, P. (</w:t>
      </w:r>
      <w:proofErr w:type="spellStart"/>
      <w:r w:rsidRPr="00970E19">
        <w:rPr>
          <w:rFonts w:ascii="Calibri" w:eastAsia="Calibri" w:hAnsi="Calibri"/>
        </w:rPr>
        <w:t>Eds</w:t>
      </w:r>
      <w:proofErr w:type="spellEnd"/>
      <w:r w:rsidRPr="00970E19">
        <w:rPr>
          <w:rFonts w:ascii="Calibri" w:eastAsia="Calibri" w:hAnsi="Calibri"/>
        </w:rPr>
        <w:t>) (2005).</w:t>
      </w:r>
      <w:proofErr w:type="gramEnd"/>
      <w:r w:rsidRPr="00970E19">
        <w:rPr>
          <w:rFonts w:ascii="Calibri" w:eastAsia="Calibri" w:hAnsi="Calibri"/>
        </w:rPr>
        <w:t xml:space="preserve"> </w:t>
      </w:r>
      <w:proofErr w:type="gramStart"/>
      <w:r w:rsidRPr="00970E19">
        <w:rPr>
          <w:rFonts w:ascii="Calibri" w:eastAsia="Calibri" w:hAnsi="Calibri"/>
          <w:i/>
          <w:iCs/>
        </w:rPr>
        <w:t>New Thinking about Mental Health and Employment</w:t>
      </w:r>
      <w:r w:rsidRPr="00970E19">
        <w:rPr>
          <w:rFonts w:ascii="Calibri" w:eastAsia="Calibri" w:hAnsi="Calibri"/>
        </w:rPr>
        <w:t>.</w:t>
      </w:r>
      <w:proofErr w:type="gramEnd"/>
      <w:r w:rsidRPr="00970E19">
        <w:rPr>
          <w:rFonts w:ascii="Calibri" w:eastAsia="Calibri" w:hAnsi="Calibri"/>
        </w:rPr>
        <w:t xml:space="preserve"> Oxford: Radcliffe Publishing.</w:t>
      </w:r>
    </w:p>
    <w:p w:rsidR="00374166" w:rsidRPr="00374166" w:rsidRDefault="00374166" w:rsidP="00711256">
      <w:pPr>
        <w:jc w:val="both"/>
        <w:rPr>
          <w:rFonts w:ascii="Calibri" w:eastAsia="Calibri" w:hAnsi="Calibri"/>
        </w:rPr>
      </w:pPr>
      <w:proofErr w:type="spellStart"/>
      <w:r>
        <w:rPr>
          <w:rFonts w:ascii="Calibri" w:eastAsia="Calibri" w:hAnsi="Calibri"/>
        </w:rPr>
        <w:t>Hasselkus</w:t>
      </w:r>
      <w:proofErr w:type="spellEnd"/>
      <w:r>
        <w:rPr>
          <w:rFonts w:ascii="Calibri" w:eastAsia="Calibri" w:hAnsi="Calibri"/>
        </w:rPr>
        <w:t xml:space="preserve">, B. (2002). </w:t>
      </w:r>
      <w:proofErr w:type="gramStart"/>
      <w:r>
        <w:rPr>
          <w:rFonts w:ascii="Calibri" w:eastAsia="Calibri" w:hAnsi="Calibri"/>
          <w:i/>
        </w:rPr>
        <w:t>The meaning of everyday occupation.</w:t>
      </w:r>
      <w:proofErr w:type="gramEnd"/>
      <w:r>
        <w:rPr>
          <w:rFonts w:ascii="Calibri" w:eastAsia="Calibri" w:hAnsi="Calibri"/>
          <w:i/>
        </w:rPr>
        <w:t xml:space="preserve"> </w:t>
      </w:r>
      <w:proofErr w:type="spellStart"/>
      <w:r>
        <w:rPr>
          <w:rFonts w:ascii="Calibri" w:eastAsia="Calibri" w:hAnsi="Calibri"/>
        </w:rPr>
        <w:t>Thorofare</w:t>
      </w:r>
      <w:proofErr w:type="spellEnd"/>
      <w:r>
        <w:rPr>
          <w:rFonts w:ascii="Calibri" w:eastAsia="Calibri" w:hAnsi="Calibri"/>
        </w:rPr>
        <w:t>, NJ: Slack.</w:t>
      </w:r>
    </w:p>
    <w:p w:rsidR="00524105" w:rsidRDefault="001E009A" w:rsidP="00711256">
      <w:pPr>
        <w:jc w:val="both"/>
        <w:rPr>
          <w:rFonts w:ascii="Calibri" w:eastAsia="Calibri" w:hAnsi="Calibri"/>
          <w:lang w:val="en-GB"/>
        </w:rPr>
      </w:pPr>
      <w:r w:rsidRPr="00F62310">
        <w:rPr>
          <w:rFonts w:ascii="Calibri" w:eastAsia="Calibri" w:hAnsi="Calibri"/>
          <w:lang w:val="en-GB"/>
        </w:rPr>
        <w:t>Hocking, C. (2009)</w:t>
      </w:r>
      <w:r w:rsidR="00F62310">
        <w:rPr>
          <w:rFonts w:ascii="Calibri" w:eastAsia="Calibri" w:hAnsi="Calibri"/>
          <w:lang w:val="en-GB"/>
        </w:rPr>
        <w:t>.</w:t>
      </w:r>
      <w:r w:rsidRPr="00F62310">
        <w:rPr>
          <w:rFonts w:ascii="Calibri" w:eastAsia="Calibri" w:hAnsi="Calibri"/>
          <w:lang w:val="en-GB"/>
        </w:rPr>
        <w:t xml:space="preserve"> The challenge of occupation: Describing the things people do. </w:t>
      </w:r>
      <w:r w:rsidRPr="00F62310">
        <w:rPr>
          <w:rFonts w:ascii="Calibri" w:eastAsia="Calibri" w:hAnsi="Calibri"/>
          <w:i/>
          <w:iCs/>
          <w:lang w:val="en-GB"/>
        </w:rPr>
        <w:t>Jour</w:t>
      </w:r>
      <w:r w:rsidR="00F62310">
        <w:rPr>
          <w:rFonts w:ascii="Calibri" w:eastAsia="Calibri" w:hAnsi="Calibri"/>
          <w:i/>
          <w:iCs/>
          <w:lang w:val="en-GB"/>
        </w:rPr>
        <w:t xml:space="preserve">nal of Occupational Science, </w:t>
      </w:r>
      <w:r w:rsidR="00F62310" w:rsidRPr="00EB335F">
        <w:rPr>
          <w:rFonts w:ascii="Calibri" w:eastAsia="Calibri" w:hAnsi="Calibri"/>
          <w:iCs/>
          <w:lang w:val="en-GB"/>
        </w:rPr>
        <w:t>16 (</w:t>
      </w:r>
      <w:r w:rsidRPr="00EB335F">
        <w:rPr>
          <w:rFonts w:ascii="Calibri" w:eastAsia="Calibri" w:hAnsi="Calibri"/>
          <w:iCs/>
          <w:lang w:val="en-GB"/>
        </w:rPr>
        <w:t>3</w:t>
      </w:r>
      <w:r w:rsidR="00F62310" w:rsidRPr="00EB335F">
        <w:rPr>
          <w:rFonts w:ascii="Calibri" w:eastAsia="Calibri" w:hAnsi="Calibri"/>
          <w:iCs/>
          <w:lang w:val="en-GB"/>
        </w:rPr>
        <w:t>)</w:t>
      </w:r>
      <w:r w:rsidRPr="00EB335F">
        <w:rPr>
          <w:rFonts w:ascii="Calibri" w:eastAsia="Calibri" w:hAnsi="Calibri"/>
          <w:iCs/>
          <w:lang w:val="en-GB"/>
        </w:rPr>
        <w:t>, 140-150</w:t>
      </w:r>
      <w:r w:rsidR="00F62310" w:rsidRPr="00EB335F">
        <w:rPr>
          <w:rFonts w:ascii="Calibri" w:eastAsia="Calibri" w:hAnsi="Calibri"/>
          <w:iCs/>
          <w:lang w:val="en-GB"/>
        </w:rPr>
        <w:t>.</w:t>
      </w:r>
    </w:p>
    <w:p w:rsidR="00711256" w:rsidRPr="00524105" w:rsidRDefault="00711256" w:rsidP="00711256">
      <w:pPr>
        <w:jc w:val="both"/>
        <w:rPr>
          <w:rFonts w:ascii="Calibri" w:eastAsia="Calibri" w:hAnsi="Calibri"/>
          <w:lang w:val="en-GB"/>
        </w:rPr>
      </w:pPr>
      <w:r w:rsidRPr="00970E19">
        <w:rPr>
          <w:rFonts w:ascii="Calibri" w:eastAsia="Calibri" w:hAnsi="Calibri"/>
        </w:rPr>
        <w:t>Holmes, J., (2007).</w:t>
      </w:r>
      <w:r w:rsidRPr="00970E19">
        <w:rPr>
          <w:rFonts w:ascii="Calibri" w:eastAsia="Calibri" w:hAnsi="Calibri"/>
          <w:i/>
        </w:rPr>
        <w:t xml:space="preserve"> </w:t>
      </w:r>
      <w:proofErr w:type="gramStart"/>
      <w:r w:rsidRPr="00970E19">
        <w:rPr>
          <w:rFonts w:ascii="Calibri" w:eastAsia="Calibri" w:hAnsi="Calibri"/>
          <w:i/>
        </w:rPr>
        <w:t>Vocational Rehabilitation.</w:t>
      </w:r>
      <w:proofErr w:type="gramEnd"/>
      <w:r w:rsidRPr="00970E19">
        <w:rPr>
          <w:rFonts w:ascii="Calibri" w:eastAsia="Calibri" w:hAnsi="Calibri"/>
          <w:i/>
        </w:rPr>
        <w:t xml:space="preserve"> </w:t>
      </w:r>
      <w:r w:rsidRPr="00970E19">
        <w:rPr>
          <w:rFonts w:ascii="Calibri" w:eastAsia="Calibri" w:hAnsi="Calibri"/>
        </w:rPr>
        <w:t xml:space="preserve">Oxford: Blackwell. </w:t>
      </w:r>
    </w:p>
    <w:p w:rsidR="00C1326B" w:rsidRPr="00C1326B" w:rsidRDefault="00C1326B" w:rsidP="00C1326B">
      <w:pPr>
        <w:jc w:val="both"/>
        <w:rPr>
          <w:rFonts w:ascii="Calibri" w:eastAsia="Calibri" w:hAnsi="Calibri"/>
          <w:lang w:val="en-GB"/>
        </w:rPr>
      </w:pPr>
      <w:proofErr w:type="gramStart"/>
      <w:r w:rsidRPr="00C1326B">
        <w:rPr>
          <w:rFonts w:ascii="Calibri" w:eastAsia="Calibri" w:hAnsi="Calibri"/>
          <w:lang w:val="en-GB"/>
        </w:rPr>
        <w:t>Honey, A. (2004)</w:t>
      </w:r>
      <w:r w:rsidR="00524105">
        <w:rPr>
          <w:rFonts w:ascii="Calibri" w:eastAsia="Calibri" w:hAnsi="Calibri"/>
          <w:lang w:val="en-GB"/>
        </w:rPr>
        <w:t>.</w:t>
      </w:r>
      <w:proofErr w:type="gramEnd"/>
      <w:r w:rsidRPr="00C1326B">
        <w:rPr>
          <w:rFonts w:ascii="Calibri" w:eastAsia="Calibri" w:hAnsi="Calibri"/>
          <w:lang w:val="en-GB"/>
        </w:rPr>
        <w:t xml:space="preserve"> Benefits and drawbacks of employment: perspectives of people with mental illness. </w:t>
      </w:r>
      <w:proofErr w:type="gramStart"/>
      <w:r w:rsidRPr="00C1326B">
        <w:rPr>
          <w:rFonts w:ascii="Calibri" w:eastAsia="Calibri" w:hAnsi="Calibri"/>
          <w:i/>
          <w:iCs/>
          <w:lang w:val="en-GB"/>
        </w:rPr>
        <w:t xml:space="preserve">Qualitative health research, </w:t>
      </w:r>
      <w:r w:rsidRPr="00EB335F">
        <w:rPr>
          <w:rFonts w:ascii="Calibri" w:eastAsia="Calibri" w:hAnsi="Calibri"/>
          <w:iCs/>
          <w:lang w:val="en-GB"/>
        </w:rPr>
        <w:t>14(3), 381-395.</w:t>
      </w:r>
      <w:proofErr w:type="gramEnd"/>
      <w:r w:rsidRPr="00C1326B">
        <w:rPr>
          <w:rFonts w:ascii="Calibri" w:eastAsia="Calibri" w:hAnsi="Calibri"/>
          <w:i/>
          <w:iCs/>
          <w:lang w:val="en-GB"/>
        </w:rPr>
        <w:t xml:space="preserve"> </w:t>
      </w:r>
    </w:p>
    <w:p w:rsidR="00711256" w:rsidRDefault="00711256" w:rsidP="00711256">
      <w:pPr>
        <w:jc w:val="both"/>
        <w:rPr>
          <w:rFonts w:ascii="Calibri" w:eastAsia="Calibri" w:hAnsi="Calibri"/>
          <w:i/>
          <w:iCs/>
        </w:rPr>
      </w:pPr>
      <w:proofErr w:type="gramStart"/>
      <w:r w:rsidRPr="00970E19">
        <w:rPr>
          <w:rFonts w:ascii="Calibri" w:eastAsia="Calibri" w:hAnsi="Calibri"/>
        </w:rPr>
        <w:t>Jahoda, M. (1981).</w:t>
      </w:r>
      <w:proofErr w:type="gramEnd"/>
      <w:r w:rsidRPr="00970E19">
        <w:rPr>
          <w:rFonts w:ascii="Calibri" w:eastAsia="Calibri" w:hAnsi="Calibri"/>
        </w:rPr>
        <w:t xml:space="preserve"> Work, employment, and unemployment: Values, theories, and approaches in social research. </w:t>
      </w:r>
      <w:r w:rsidRPr="00970E19">
        <w:rPr>
          <w:rFonts w:ascii="Calibri" w:eastAsia="Calibri" w:hAnsi="Calibri"/>
          <w:i/>
          <w:iCs/>
        </w:rPr>
        <w:t xml:space="preserve">American Psychologist, </w:t>
      </w:r>
      <w:r w:rsidRPr="00EB335F">
        <w:rPr>
          <w:rFonts w:ascii="Calibri" w:eastAsia="Calibri" w:hAnsi="Calibri"/>
          <w:iCs/>
        </w:rPr>
        <w:t>36(2), 184-191.</w:t>
      </w:r>
      <w:r w:rsidRPr="00970E19">
        <w:rPr>
          <w:rFonts w:ascii="Calibri" w:eastAsia="Calibri" w:hAnsi="Calibri"/>
          <w:i/>
          <w:iCs/>
        </w:rPr>
        <w:t xml:space="preserve"> </w:t>
      </w:r>
    </w:p>
    <w:p w:rsidR="001C7E6A" w:rsidRPr="001C7E6A" w:rsidRDefault="001C7E6A" w:rsidP="001C7E6A">
      <w:pPr>
        <w:jc w:val="both"/>
        <w:rPr>
          <w:rFonts w:ascii="Calibri" w:eastAsia="Calibri" w:hAnsi="Calibri"/>
          <w:iCs/>
          <w:lang w:val="en-GB"/>
        </w:rPr>
      </w:pPr>
      <w:r w:rsidRPr="001C7E6A">
        <w:rPr>
          <w:rFonts w:ascii="Calibri" w:eastAsia="Calibri" w:hAnsi="Calibri"/>
          <w:iCs/>
          <w:lang w:val="en-GB"/>
        </w:rPr>
        <w:t>Koletsi, M., Niersman, A., van Busschbach, J.T., Catty, J., Becker, T., Burns, T., Fioritti, A., Kalkan, R., Lauber, C., Rossler, W., Tomov, T. and Wiersma, D. (2009)</w:t>
      </w:r>
      <w:r w:rsidR="00524105">
        <w:rPr>
          <w:rFonts w:ascii="Calibri" w:eastAsia="Calibri" w:hAnsi="Calibri"/>
          <w:iCs/>
          <w:lang w:val="en-GB"/>
        </w:rPr>
        <w:t>.</w:t>
      </w:r>
      <w:r w:rsidRPr="001C7E6A">
        <w:rPr>
          <w:rFonts w:ascii="Calibri" w:eastAsia="Calibri" w:hAnsi="Calibri"/>
          <w:iCs/>
          <w:lang w:val="en-GB"/>
        </w:rPr>
        <w:t xml:space="preserve"> </w:t>
      </w:r>
      <w:proofErr w:type="gramStart"/>
      <w:r w:rsidRPr="001C7E6A">
        <w:rPr>
          <w:rFonts w:ascii="Calibri" w:eastAsia="Calibri" w:hAnsi="Calibri"/>
          <w:iCs/>
          <w:lang w:val="en-GB"/>
        </w:rPr>
        <w:t>Working with mental health problems: Clients’ experiences of IPS, vocational rehabilitation and employment.</w:t>
      </w:r>
      <w:proofErr w:type="gramEnd"/>
      <w:r w:rsidRPr="001C7E6A">
        <w:rPr>
          <w:rFonts w:ascii="Calibri" w:eastAsia="Calibri" w:hAnsi="Calibri"/>
          <w:iCs/>
          <w:lang w:val="en-GB"/>
        </w:rPr>
        <w:t xml:space="preserve">  </w:t>
      </w:r>
      <w:proofErr w:type="gramStart"/>
      <w:r w:rsidRPr="001C7E6A">
        <w:rPr>
          <w:rFonts w:ascii="Calibri" w:eastAsia="Calibri" w:hAnsi="Calibri"/>
          <w:i/>
          <w:iCs/>
          <w:lang w:val="en-GB"/>
        </w:rPr>
        <w:t xml:space="preserve">Social Psychiatry and Psychiatric Epidemiology, </w:t>
      </w:r>
      <w:r w:rsidRPr="00EB335F">
        <w:rPr>
          <w:rFonts w:ascii="Calibri" w:eastAsia="Calibri" w:hAnsi="Calibri"/>
          <w:iCs/>
          <w:lang w:val="en-GB"/>
        </w:rPr>
        <w:t>44(11), 961- 970.</w:t>
      </w:r>
      <w:proofErr w:type="gramEnd"/>
      <w:r w:rsidRPr="001C7E6A">
        <w:rPr>
          <w:rFonts w:ascii="Calibri" w:eastAsia="Calibri" w:hAnsi="Calibri"/>
          <w:i/>
          <w:iCs/>
          <w:lang w:val="en-GB"/>
        </w:rPr>
        <w:t xml:space="preserve">  </w:t>
      </w:r>
    </w:p>
    <w:p w:rsidR="00C1326B" w:rsidRPr="00C1326B" w:rsidRDefault="00C1326B" w:rsidP="00C1326B">
      <w:pPr>
        <w:jc w:val="both"/>
        <w:rPr>
          <w:rFonts w:ascii="Calibri" w:eastAsia="Calibri" w:hAnsi="Calibri"/>
          <w:lang w:val="en-GB"/>
        </w:rPr>
      </w:pPr>
      <w:r w:rsidRPr="00C1326B">
        <w:rPr>
          <w:rFonts w:ascii="Calibri" w:eastAsia="Calibri" w:hAnsi="Calibri"/>
          <w:lang w:val="en-GB"/>
        </w:rPr>
        <w:t>Langdridge, D. (2007)</w:t>
      </w:r>
      <w:r w:rsidR="00524105">
        <w:rPr>
          <w:rFonts w:ascii="Calibri" w:eastAsia="Calibri" w:hAnsi="Calibri"/>
          <w:lang w:val="en-GB"/>
        </w:rPr>
        <w:t xml:space="preserve">. </w:t>
      </w:r>
      <w:proofErr w:type="gramStart"/>
      <w:r w:rsidRPr="00C1326B">
        <w:rPr>
          <w:rFonts w:ascii="Calibri" w:eastAsia="Calibri" w:hAnsi="Calibri"/>
          <w:i/>
          <w:lang w:val="en-GB"/>
        </w:rPr>
        <w:t>Phenomenological Psychology.</w:t>
      </w:r>
      <w:proofErr w:type="gramEnd"/>
      <w:r w:rsidRPr="00C1326B">
        <w:rPr>
          <w:rFonts w:ascii="Calibri" w:eastAsia="Calibri" w:hAnsi="Calibri"/>
          <w:i/>
          <w:lang w:val="en-GB"/>
        </w:rPr>
        <w:t xml:space="preserve"> </w:t>
      </w:r>
      <w:proofErr w:type="gramStart"/>
      <w:r w:rsidRPr="00C1326B">
        <w:rPr>
          <w:rFonts w:ascii="Calibri" w:eastAsia="Calibri" w:hAnsi="Calibri"/>
          <w:i/>
          <w:lang w:val="en-GB"/>
        </w:rPr>
        <w:t>Theory, Research and Method.</w:t>
      </w:r>
      <w:proofErr w:type="gramEnd"/>
      <w:r w:rsidRPr="00C1326B">
        <w:rPr>
          <w:rFonts w:ascii="Calibri" w:eastAsia="Calibri" w:hAnsi="Calibri"/>
          <w:i/>
          <w:lang w:val="en-GB"/>
        </w:rPr>
        <w:t xml:space="preserve"> </w:t>
      </w:r>
      <w:r w:rsidRPr="00C1326B">
        <w:rPr>
          <w:rFonts w:ascii="Calibri" w:eastAsia="Calibri" w:hAnsi="Calibri"/>
          <w:lang w:val="en-GB"/>
        </w:rPr>
        <w:t xml:space="preserve">London. </w:t>
      </w:r>
      <w:proofErr w:type="gramStart"/>
      <w:r w:rsidRPr="00C1326B">
        <w:rPr>
          <w:rFonts w:ascii="Calibri" w:eastAsia="Calibri" w:hAnsi="Calibri"/>
          <w:lang w:val="en-GB"/>
        </w:rPr>
        <w:t>Pearson Prentice Hall.</w:t>
      </w:r>
      <w:proofErr w:type="gramEnd"/>
    </w:p>
    <w:p w:rsidR="00C1326B" w:rsidRDefault="00C1326B" w:rsidP="00C1326B">
      <w:pPr>
        <w:jc w:val="both"/>
        <w:rPr>
          <w:rFonts w:ascii="Calibri" w:eastAsia="Calibri" w:hAnsi="Calibri"/>
          <w:i/>
          <w:lang w:val="en-GB"/>
        </w:rPr>
      </w:pPr>
      <w:proofErr w:type="gramStart"/>
      <w:r w:rsidRPr="00C1326B">
        <w:rPr>
          <w:rFonts w:ascii="Calibri" w:eastAsia="Calibri" w:hAnsi="Calibri"/>
          <w:lang w:val="en-GB"/>
        </w:rPr>
        <w:lastRenderedPageBreak/>
        <w:t>Larkin, M., Eatough, V., and Osborn, M. (2011)</w:t>
      </w:r>
      <w:r w:rsidR="00524105">
        <w:rPr>
          <w:rFonts w:ascii="Calibri" w:eastAsia="Calibri" w:hAnsi="Calibri"/>
          <w:lang w:val="en-GB"/>
        </w:rPr>
        <w:t>.</w:t>
      </w:r>
      <w:proofErr w:type="gramEnd"/>
      <w:r w:rsidRPr="00C1326B">
        <w:rPr>
          <w:rFonts w:ascii="Calibri" w:eastAsia="Calibri" w:hAnsi="Calibri"/>
          <w:lang w:val="en-GB"/>
        </w:rPr>
        <w:t xml:space="preserve"> </w:t>
      </w:r>
      <w:proofErr w:type="gramStart"/>
      <w:r w:rsidRPr="00C1326B">
        <w:rPr>
          <w:rFonts w:ascii="Calibri" w:eastAsia="Calibri" w:hAnsi="Calibri"/>
          <w:lang w:val="en-GB"/>
        </w:rPr>
        <w:t>Interpretative phenomenological analysis and embodied, active, situated cognition.</w:t>
      </w:r>
      <w:proofErr w:type="gramEnd"/>
      <w:r w:rsidRPr="00C1326B">
        <w:rPr>
          <w:rFonts w:ascii="Calibri" w:eastAsia="Calibri" w:hAnsi="Calibri"/>
          <w:lang w:val="en-GB"/>
        </w:rPr>
        <w:t xml:space="preserve"> </w:t>
      </w:r>
      <w:r w:rsidRPr="00C1326B">
        <w:rPr>
          <w:rFonts w:ascii="Calibri" w:eastAsia="Calibri" w:hAnsi="Calibri"/>
          <w:i/>
          <w:lang w:val="en-GB"/>
        </w:rPr>
        <w:t xml:space="preserve">Theory and Psychology, </w:t>
      </w:r>
      <w:r w:rsidRPr="00EB335F">
        <w:rPr>
          <w:rFonts w:ascii="Calibri" w:eastAsia="Calibri" w:hAnsi="Calibri"/>
          <w:lang w:val="en-GB"/>
        </w:rPr>
        <w:t>21(3)</w:t>
      </w:r>
      <w:r w:rsidRPr="00EB335F">
        <w:rPr>
          <w:rFonts w:ascii="Calibri" w:eastAsia="Calibri" w:hAnsi="Calibri"/>
          <w:iCs/>
          <w:lang w:val="en-GB"/>
        </w:rPr>
        <w:t>,</w:t>
      </w:r>
      <w:r w:rsidRPr="00EB335F">
        <w:rPr>
          <w:rFonts w:ascii="Calibri" w:eastAsia="Calibri" w:hAnsi="Calibri"/>
          <w:lang w:val="en-GB"/>
        </w:rPr>
        <w:t xml:space="preserve"> 318 – 337.</w:t>
      </w:r>
    </w:p>
    <w:p w:rsidR="00BD319D" w:rsidRPr="00D72158" w:rsidRDefault="0061346B" w:rsidP="00D72158">
      <w:pPr>
        <w:jc w:val="both"/>
        <w:rPr>
          <w:rFonts w:ascii="Calibri" w:eastAsia="Calibri" w:hAnsi="Calibri"/>
          <w:lang w:val="en-GB"/>
        </w:rPr>
      </w:pPr>
      <w:proofErr w:type="gramStart"/>
      <w:r w:rsidRPr="00D72158">
        <w:rPr>
          <w:rFonts w:ascii="Calibri" w:eastAsia="Calibri" w:hAnsi="Calibri"/>
          <w:lang w:val="en-GB"/>
        </w:rPr>
        <w:t>Larson, E. &amp; Zemke, R. (2003)</w:t>
      </w:r>
      <w:r w:rsidR="00524105">
        <w:rPr>
          <w:rFonts w:ascii="Calibri" w:eastAsia="Calibri" w:hAnsi="Calibri"/>
          <w:lang w:val="en-GB"/>
        </w:rPr>
        <w:t>.</w:t>
      </w:r>
      <w:proofErr w:type="gramEnd"/>
      <w:r w:rsidRPr="00D72158">
        <w:rPr>
          <w:rFonts w:ascii="Calibri" w:eastAsia="Calibri" w:hAnsi="Calibri"/>
          <w:lang w:val="en-GB"/>
        </w:rPr>
        <w:t xml:space="preserve"> </w:t>
      </w:r>
      <w:proofErr w:type="gramStart"/>
      <w:r w:rsidRPr="00D72158">
        <w:rPr>
          <w:rFonts w:ascii="Calibri" w:eastAsia="Calibri" w:hAnsi="Calibri"/>
          <w:lang w:val="en-GB"/>
        </w:rPr>
        <w:t>Shaping the temporal patterns of our lives: The social coordination of occupation.</w:t>
      </w:r>
      <w:proofErr w:type="gramEnd"/>
      <w:r w:rsidRPr="00D72158">
        <w:rPr>
          <w:rFonts w:ascii="Calibri" w:eastAsia="Calibri" w:hAnsi="Calibri"/>
          <w:lang w:val="en-GB"/>
        </w:rPr>
        <w:t xml:space="preserve"> </w:t>
      </w:r>
      <w:r w:rsidRPr="00D72158">
        <w:rPr>
          <w:rFonts w:ascii="Calibri" w:eastAsia="Calibri" w:hAnsi="Calibri"/>
          <w:i/>
          <w:iCs/>
          <w:lang w:val="en-GB"/>
        </w:rPr>
        <w:t xml:space="preserve">Journal of Occupational Science, </w:t>
      </w:r>
      <w:r w:rsidR="00EB335F">
        <w:rPr>
          <w:rFonts w:ascii="Calibri" w:eastAsia="Calibri" w:hAnsi="Calibri"/>
          <w:iCs/>
          <w:lang w:val="en-GB"/>
        </w:rPr>
        <w:t>10(</w:t>
      </w:r>
      <w:r w:rsidRPr="00EB335F">
        <w:rPr>
          <w:rFonts w:ascii="Calibri" w:eastAsia="Calibri" w:hAnsi="Calibri"/>
          <w:iCs/>
          <w:lang w:val="en-GB"/>
        </w:rPr>
        <w:t>2</w:t>
      </w:r>
      <w:r w:rsidR="00EB335F">
        <w:rPr>
          <w:rFonts w:ascii="Calibri" w:eastAsia="Calibri" w:hAnsi="Calibri"/>
          <w:iCs/>
          <w:lang w:val="en-GB"/>
        </w:rPr>
        <w:t>)</w:t>
      </w:r>
      <w:r w:rsidRPr="00EB335F">
        <w:rPr>
          <w:rFonts w:ascii="Calibri" w:eastAsia="Calibri" w:hAnsi="Calibri"/>
          <w:iCs/>
          <w:lang w:val="en-GB"/>
        </w:rPr>
        <w:t>, 80-89</w:t>
      </w:r>
      <w:r w:rsidR="00524105">
        <w:rPr>
          <w:rFonts w:ascii="Calibri" w:eastAsia="Calibri" w:hAnsi="Calibri"/>
          <w:iCs/>
          <w:lang w:val="en-GB"/>
        </w:rPr>
        <w:t>.</w:t>
      </w:r>
    </w:p>
    <w:p w:rsidR="00C1326B" w:rsidRDefault="00C1326B" w:rsidP="00C1326B">
      <w:pPr>
        <w:jc w:val="both"/>
        <w:rPr>
          <w:rFonts w:ascii="Calibri" w:eastAsia="Calibri" w:hAnsi="Calibri"/>
          <w:lang w:val="en-GB"/>
        </w:rPr>
      </w:pPr>
      <w:proofErr w:type="gramStart"/>
      <w:r w:rsidRPr="00C1326B">
        <w:rPr>
          <w:rFonts w:ascii="Calibri" w:eastAsia="Calibri" w:hAnsi="Calibri"/>
          <w:lang w:val="en-GB"/>
        </w:rPr>
        <w:t>Marwaha, S. and Johnson, S. (2005) Views and experiences of employment among people with psychosis: A qualitative descriptive study.</w:t>
      </w:r>
      <w:proofErr w:type="gramEnd"/>
      <w:r w:rsidRPr="00C1326B">
        <w:rPr>
          <w:rFonts w:ascii="Calibri" w:eastAsia="Calibri" w:hAnsi="Calibri"/>
          <w:lang w:val="en-GB"/>
        </w:rPr>
        <w:t xml:space="preserve"> </w:t>
      </w:r>
      <w:r w:rsidRPr="00C1326B">
        <w:rPr>
          <w:rFonts w:ascii="Calibri" w:eastAsia="Calibri" w:hAnsi="Calibri"/>
          <w:i/>
          <w:iCs/>
          <w:lang w:val="en-GB"/>
        </w:rPr>
        <w:t xml:space="preserve">International Journal of Social Psychiatry, </w:t>
      </w:r>
      <w:r w:rsidRPr="00EB335F">
        <w:rPr>
          <w:rFonts w:ascii="Calibri" w:eastAsia="Calibri" w:hAnsi="Calibri"/>
          <w:iCs/>
          <w:lang w:val="en-GB"/>
        </w:rPr>
        <w:t>51(4), 302-316.</w:t>
      </w:r>
      <w:r w:rsidRPr="00C1326B">
        <w:rPr>
          <w:rFonts w:ascii="Calibri" w:eastAsia="Calibri" w:hAnsi="Calibri"/>
          <w:lang w:val="en-GB"/>
        </w:rPr>
        <w:t xml:space="preserve"> </w:t>
      </w:r>
    </w:p>
    <w:p w:rsidR="001C7E6A" w:rsidRPr="001C7E6A" w:rsidRDefault="001C7E6A" w:rsidP="001C7E6A">
      <w:pPr>
        <w:jc w:val="both"/>
        <w:rPr>
          <w:rFonts w:ascii="Calibri" w:eastAsia="Calibri" w:hAnsi="Calibri"/>
          <w:lang w:val="en-GB"/>
        </w:rPr>
      </w:pPr>
      <w:proofErr w:type="gramStart"/>
      <w:r w:rsidRPr="001C7E6A">
        <w:rPr>
          <w:rFonts w:ascii="Calibri" w:eastAsia="Calibri" w:hAnsi="Calibri"/>
          <w:lang w:val="en-GB"/>
        </w:rPr>
        <w:t>Provencher</w:t>
      </w:r>
      <w:r w:rsidR="00524105">
        <w:rPr>
          <w:rFonts w:ascii="Calibri" w:eastAsia="Calibri" w:hAnsi="Calibri"/>
          <w:lang w:val="en-GB"/>
        </w:rPr>
        <w:t>,</w:t>
      </w:r>
      <w:r w:rsidRPr="001C7E6A">
        <w:rPr>
          <w:rFonts w:ascii="Calibri" w:eastAsia="Calibri" w:hAnsi="Calibri"/>
          <w:lang w:val="en-GB"/>
        </w:rPr>
        <w:t xml:space="preserve"> H</w:t>
      </w:r>
      <w:r w:rsidR="00524105">
        <w:rPr>
          <w:rFonts w:ascii="Calibri" w:eastAsia="Calibri" w:hAnsi="Calibri"/>
          <w:lang w:val="en-GB"/>
        </w:rPr>
        <w:t>.</w:t>
      </w:r>
      <w:r w:rsidRPr="001C7E6A">
        <w:rPr>
          <w:rFonts w:ascii="Calibri" w:eastAsia="Calibri" w:hAnsi="Calibri"/>
          <w:lang w:val="en-GB"/>
        </w:rPr>
        <w:t>, Gregg</w:t>
      </w:r>
      <w:r w:rsidR="00524105">
        <w:rPr>
          <w:rFonts w:ascii="Calibri" w:eastAsia="Calibri" w:hAnsi="Calibri"/>
          <w:lang w:val="en-GB"/>
        </w:rPr>
        <w:t>,</w:t>
      </w:r>
      <w:r w:rsidRPr="001C7E6A">
        <w:rPr>
          <w:rFonts w:ascii="Calibri" w:eastAsia="Calibri" w:hAnsi="Calibri"/>
          <w:lang w:val="en-GB"/>
        </w:rPr>
        <w:t xml:space="preserve"> R</w:t>
      </w:r>
      <w:r w:rsidR="00524105">
        <w:rPr>
          <w:rFonts w:ascii="Calibri" w:eastAsia="Calibri" w:hAnsi="Calibri"/>
          <w:lang w:val="en-GB"/>
        </w:rPr>
        <w:t>.</w:t>
      </w:r>
      <w:r w:rsidRPr="001C7E6A">
        <w:rPr>
          <w:rFonts w:ascii="Calibri" w:eastAsia="Calibri" w:hAnsi="Calibri"/>
          <w:lang w:val="en-GB"/>
        </w:rPr>
        <w:t>, Mead</w:t>
      </w:r>
      <w:r w:rsidR="00524105">
        <w:rPr>
          <w:rFonts w:ascii="Calibri" w:eastAsia="Calibri" w:hAnsi="Calibri"/>
          <w:lang w:val="en-GB"/>
        </w:rPr>
        <w:t>,</w:t>
      </w:r>
      <w:r w:rsidRPr="001C7E6A">
        <w:rPr>
          <w:rFonts w:ascii="Calibri" w:eastAsia="Calibri" w:hAnsi="Calibri"/>
          <w:lang w:val="en-GB"/>
        </w:rPr>
        <w:t xml:space="preserve"> S</w:t>
      </w:r>
      <w:r w:rsidR="00524105">
        <w:rPr>
          <w:rFonts w:ascii="Calibri" w:eastAsia="Calibri" w:hAnsi="Calibri"/>
          <w:lang w:val="en-GB"/>
        </w:rPr>
        <w:t>.</w:t>
      </w:r>
      <w:r w:rsidRPr="001C7E6A">
        <w:rPr>
          <w:rFonts w:ascii="Calibri" w:eastAsia="Calibri" w:hAnsi="Calibri"/>
          <w:lang w:val="en-GB"/>
        </w:rPr>
        <w:t xml:space="preserve"> and Mueser</w:t>
      </w:r>
      <w:r w:rsidR="00524105">
        <w:rPr>
          <w:rFonts w:ascii="Calibri" w:eastAsia="Calibri" w:hAnsi="Calibri"/>
          <w:lang w:val="en-GB"/>
        </w:rPr>
        <w:t>,</w:t>
      </w:r>
      <w:r w:rsidRPr="001C7E6A">
        <w:rPr>
          <w:rFonts w:ascii="Calibri" w:eastAsia="Calibri" w:hAnsi="Calibri"/>
          <w:lang w:val="en-GB"/>
        </w:rPr>
        <w:t xml:space="preserve"> K</w:t>
      </w:r>
      <w:r w:rsidR="00524105">
        <w:rPr>
          <w:rFonts w:ascii="Calibri" w:eastAsia="Calibri" w:hAnsi="Calibri"/>
          <w:lang w:val="en-GB"/>
        </w:rPr>
        <w:t>.</w:t>
      </w:r>
      <w:r w:rsidRPr="001C7E6A">
        <w:rPr>
          <w:rFonts w:ascii="Calibri" w:eastAsia="Calibri" w:hAnsi="Calibri"/>
          <w:lang w:val="en-GB"/>
        </w:rPr>
        <w:t xml:space="preserve"> (2002)</w:t>
      </w:r>
      <w:r w:rsidR="00524105">
        <w:rPr>
          <w:rFonts w:ascii="Calibri" w:eastAsia="Calibri" w:hAnsi="Calibri"/>
          <w:lang w:val="en-GB"/>
        </w:rPr>
        <w:t>.</w:t>
      </w:r>
      <w:proofErr w:type="gramEnd"/>
      <w:r w:rsidRPr="001C7E6A">
        <w:rPr>
          <w:rFonts w:ascii="Calibri" w:eastAsia="Calibri" w:hAnsi="Calibri"/>
          <w:lang w:val="en-GB"/>
        </w:rPr>
        <w:t xml:space="preserve"> </w:t>
      </w:r>
      <w:proofErr w:type="gramStart"/>
      <w:r w:rsidRPr="001C7E6A">
        <w:rPr>
          <w:rFonts w:ascii="Calibri" w:eastAsia="Calibri" w:hAnsi="Calibri"/>
          <w:lang w:val="en-GB"/>
        </w:rPr>
        <w:t>The role of work in the recovery of persons with psychiatric disabilities.</w:t>
      </w:r>
      <w:proofErr w:type="gramEnd"/>
      <w:r w:rsidRPr="001C7E6A">
        <w:rPr>
          <w:rFonts w:ascii="Calibri" w:eastAsia="Calibri" w:hAnsi="Calibri"/>
          <w:lang w:val="en-GB"/>
        </w:rPr>
        <w:t xml:space="preserve"> </w:t>
      </w:r>
      <w:r w:rsidRPr="001C7E6A">
        <w:rPr>
          <w:rFonts w:ascii="Calibri" w:eastAsia="Calibri" w:hAnsi="Calibri"/>
          <w:i/>
          <w:iCs/>
          <w:lang w:val="en-GB"/>
        </w:rPr>
        <w:t xml:space="preserve">Psychiatric Rehabilitation Journal, </w:t>
      </w:r>
      <w:r w:rsidRPr="00EB335F">
        <w:rPr>
          <w:rFonts w:ascii="Calibri" w:eastAsia="Calibri" w:hAnsi="Calibri"/>
          <w:iCs/>
          <w:lang w:val="en-GB"/>
        </w:rPr>
        <w:t>26(2), 132-144.</w:t>
      </w:r>
      <w:r w:rsidRPr="001C7E6A">
        <w:rPr>
          <w:rFonts w:ascii="Calibri" w:eastAsia="Calibri" w:hAnsi="Calibri"/>
          <w:i/>
          <w:iCs/>
          <w:lang w:val="en-GB"/>
        </w:rPr>
        <w:t xml:space="preserve"> </w:t>
      </w:r>
    </w:p>
    <w:p w:rsidR="001C7E6A" w:rsidRPr="001C7E6A" w:rsidRDefault="001C7E6A" w:rsidP="001C7E6A">
      <w:pPr>
        <w:jc w:val="both"/>
        <w:rPr>
          <w:rFonts w:ascii="Calibri" w:eastAsia="Calibri" w:hAnsi="Calibri"/>
          <w:lang w:val="en-GB"/>
        </w:rPr>
      </w:pPr>
      <w:proofErr w:type="gramStart"/>
      <w:r w:rsidRPr="001C7E6A">
        <w:rPr>
          <w:rFonts w:ascii="Calibri" w:eastAsia="Calibri" w:hAnsi="Calibri"/>
          <w:lang w:val="en-GB"/>
        </w:rPr>
        <w:t>Reed, K., Hocking, C. and Smythe, L. (2010)</w:t>
      </w:r>
      <w:r w:rsidR="00524105">
        <w:rPr>
          <w:rFonts w:ascii="Calibri" w:eastAsia="Calibri" w:hAnsi="Calibri"/>
          <w:lang w:val="en-GB"/>
        </w:rPr>
        <w:t>.</w:t>
      </w:r>
      <w:proofErr w:type="gramEnd"/>
      <w:r w:rsidRPr="001C7E6A">
        <w:rPr>
          <w:rFonts w:ascii="Calibri" w:eastAsia="Calibri" w:hAnsi="Calibri"/>
          <w:lang w:val="en-GB"/>
        </w:rPr>
        <w:t xml:space="preserve"> The interconnected meanings of occupation: The call, being-with, possibilities. </w:t>
      </w:r>
      <w:r w:rsidRPr="001C7E6A">
        <w:rPr>
          <w:rFonts w:ascii="Calibri" w:eastAsia="Calibri" w:hAnsi="Calibri"/>
          <w:i/>
          <w:iCs/>
          <w:lang w:val="en-GB"/>
        </w:rPr>
        <w:t xml:space="preserve">Journal of Occupational Science, </w:t>
      </w:r>
      <w:r w:rsidRPr="00EB335F">
        <w:rPr>
          <w:rFonts w:ascii="Calibri" w:eastAsia="Calibri" w:hAnsi="Calibri"/>
          <w:iCs/>
          <w:lang w:val="en-GB"/>
        </w:rPr>
        <w:t>17(3), 140-149.</w:t>
      </w:r>
      <w:r w:rsidRPr="001C7E6A">
        <w:rPr>
          <w:rFonts w:ascii="Calibri" w:eastAsia="Calibri" w:hAnsi="Calibri"/>
          <w:i/>
          <w:iCs/>
          <w:lang w:val="en-GB"/>
        </w:rPr>
        <w:t xml:space="preserve"> </w:t>
      </w:r>
    </w:p>
    <w:p w:rsidR="00BD319D" w:rsidRPr="00D72158" w:rsidRDefault="0061346B" w:rsidP="00D72158">
      <w:pPr>
        <w:jc w:val="both"/>
        <w:rPr>
          <w:rFonts w:ascii="Calibri" w:eastAsia="Calibri" w:hAnsi="Calibri"/>
          <w:lang w:val="en-GB"/>
        </w:rPr>
      </w:pPr>
      <w:r w:rsidRPr="00D72158">
        <w:rPr>
          <w:rFonts w:ascii="Calibri" w:eastAsia="Calibri" w:hAnsi="Calibri"/>
          <w:lang w:val="en-GB"/>
        </w:rPr>
        <w:t>Russell, E. (2009)</w:t>
      </w:r>
      <w:r w:rsidR="00524105">
        <w:rPr>
          <w:rFonts w:ascii="Calibri" w:eastAsia="Calibri" w:hAnsi="Calibri"/>
          <w:lang w:val="en-GB"/>
        </w:rPr>
        <w:t>.</w:t>
      </w:r>
      <w:r w:rsidRPr="00D72158">
        <w:rPr>
          <w:rFonts w:ascii="Calibri" w:eastAsia="Calibri" w:hAnsi="Calibri"/>
          <w:lang w:val="en-GB"/>
        </w:rPr>
        <w:t xml:space="preserve"> Writing on the wall: The form, function &amp; meaning of tagging.</w:t>
      </w:r>
      <w:r w:rsidRPr="00D72158">
        <w:rPr>
          <w:rFonts w:ascii="Calibri" w:eastAsia="Calibri" w:hAnsi="Calibri"/>
          <w:i/>
          <w:iCs/>
          <w:lang w:val="en-GB"/>
        </w:rPr>
        <w:t xml:space="preserve"> Journal of Occupational Science, </w:t>
      </w:r>
      <w:r w:rsidR="00EB335F">
        <w:rPr>
          <w:rFonts w:ascii="Calibri" w:eastAsia="Calibri" w:hAnsi="Calibri"/>
          <w:iCs/>
          <w:lang w:val="en-GB"/>
        </w:rPr>
        <w:t>15(</w:t>
      </w:r>
      <w:r w:rsidRPr="00EB335F">
        <w:rPr>
          <w:rFonts w:ascii="Calibri" w:eastAsia="Calibri" w:hAnsi="Calibri"/>
          <w:iCs/>
          <w:lang w:val="en-GB"/>
        </w:rPr>
        <w:t>2</w:t>
      </w:r>
      <w:r w:rsidR="00EB335F">
        <w:rPr>
          <w:rFonts w:ascii="Calibri" w:eastAsia="Calibri" w:hAnsi="Calibri"/>
          <w:iCs/>
          <w:lang w:val="en-GB"/>
        </w:rPr>
        <w:t>)</w:t>
      </w:r>
      <w:r w:rsidRPr="00EB335F">
        <w:rPr>
          <w:rFonts w:ascii="Calibri" w:eastAsia="Calibri" w:hAnsi="Calibri"/>
          <w:iCs/>
          <w:lang w:val="en-GB"/>
        </w:rPr>
        <w:t>, 87-97</w:t>
      </w:r>
      <w:r w:rsidR="00524105">
        <w:rPr>
          <w:rFonts w:ascii="Calibri" w:eastAsia="Calibri" w:hAnsi="Calibri"/>
          <w:iCs/>
          <w:lang w:val="en-GB"/>
        </w:rPr>
        <w:t>.</w:t>
      </w:r>
      <w:r w:rsidRPr="00D72158">
        <w:rPr>
          <w:rFonts w:ascii="Calibri" w:eastAsia="Calibri" w:hAnsi="Calibri"/>
          <w:lang w:val="en-GB"/>
        </w:rPr>
        <w:t xml:space="preserve"> </w:t>
      </w:r>
    </w:p>
    <w:p w:rsidR="001C7E6A" w:rsidRPr="001C7E6A" w:rsidRDefault="001C7E6A" w:rsidP="001C7E6A">
      <w:pPr>
        <w:jc w:val="both"/>
        <w:rPr>
          <w:rFonts w:ascii="Calibri" w:eastAsia="Calibri" w:hAnsi="Calibri"/>
          <w:lang w:val="en-GB"/>
        </w:rPr>
      </w:pPr>
      <w:proofErr w:type="gramStart"/>
      <w:r w:rsidRPr="001C7E6A">
        <w:rPr>
          <w:rFonts w:ascii="Calibri" w:eastAsia="Calibri" w:hAnsi="Calibri"/>
          <w:lang w:val="en-GB"/>
        </w:rPr>
        <w:t>Seebohm, P., and Scott, J (2004)</w:t>
      </w:r>
      <w:r w:rsidR="00524105">
        <w:rPr>
          <w:rFonts w:ascii="Calibri" w:eastAsia="Calibri" w:hAnsi="Calibri"/>
          <w:lang w:val="en-GB"/>
        </w:rPr>
        <w:t>.</w:t>
      </w:r>
      <w:proofErr w:type="gramEnd"/>
      <w:r w:rsidRPr="001C7E6A">
        <w:rPr>
          <w:rFonts w:ascii="Calibri" w:eastAsia="Calibri" w:hAnsi="Calibri"/>
          <w:lang w:val="en-GB"/>
        </w:rPr>
        <w:t xml:space="preserve"> </w:t>
      </w:r>
      <w:r w:rsidRPr="001C7E6A">
        <w:rPr>
          <w:rFonts w:ascii="Calibri" w:eastAsia="Calibri" w:hAnsi="Calibri"/>
          <w:i/>
          <w:lang w:val="en-GB"/>
        </w:rPr>
        <w:t xml:space="preserve">Addressing the disincentives to work associated with the welfare benefits system in the UK and abroad. </w:t>
      </w:r>
      <w:r w:rsidRPr="001C7E6A">
        <w:rPr>
          <w:rFonts w:ascii="Calibri" w:eastAsia="Calibri" w:hAnsi="Calibri"/>
          <w:lang w:val="en-GB"/>
        </w:rPr>
        <w:t xml:space="preserve">London. </w:t>
      </w:r>
      <w:proofErr w:type="gramStart"/>
      <w:r w:rsidRPr="001C7E6A">
        <w:rPr>
          <w:rFonts w:ascii="Calibri" w:eastAsia="Calibri" w:hAnsi="Calibri"/>
          <w:lang w:val="en-GB"/>
        </w:rPr>
        <w:t>Sainsbury Centre for Mental Health.</w:t>
      </w:r>
      <w:proofErr w:type="gramEnd"/>
      <w:r w:rsidRPr="001C7E6A">
        <w:rPr>
          <w:rFonts w:ascii="Calibri" w:eastAsia="Calibri" w:hAnsi="Calibri"/>
          <w:lang w:val="en-GB"/>
        </w:rPr>
        <w:t xml:space="preserve"> </w:t>
      </w:r>
    </w:p>
    <w:p w:rsidR="00711256" w:rsidRPr="00970E19" w:rsidRDefault="00711256" w:rsidP="00711256">
      <w:pPr>
        <w:jc w:val="both"/>
        <w:rPr>
          <w:rFonts w:ascii="Calibri" w:eastAsia="Calibri" w:hAnsi="Calibri"/>
        </w:rPr>
      </w:pPr>
      <w:proofErr w:type="gramStart"/>
      <w:r w:rsidRPr="00970E19">
        <w:rPr>
          <w:rFonts w:ascii="Calibri" w:eastAsia="Calibri" w:hAnsi="Calibri"/>
        </w:rPr>
        <w:t>Slade</w:t>
      </w:r>
      <w:r w:rsidR="00524105">
        <w:rPr>
          <w:rFonts w:ascii="Calibri" w:eastAsia="Calibri" w:hAnsi="Calibri"/>
        </w:rPr>
        <w:t>,</w:t>
      </w:r>
      <w:r w:rsidRPr="00970E19">
        <w:rPr>
          <w:rFonts w:ascii="Calibri" w:eastAsia="Calibri" w:hAnsi="Calibri"/>
        </w:rPr>
        <w:t xml:space="preserve"> M</w:t>
      </w:r>
      <w:r w:rsidR="00524105">
        <w:rPr>
          <w:rFonts w:ascii="Calibri" w:eastAsia="Calibri" w:hAnsi="Calibri"/>
        </w:rPr>
        <w:t>.</w:t>
      </w:r>
      <w:r w:rsidRPr="00970E19">
        <w:rPr>
          <w:rFonts w:ascii="Calibri" w:eastAsia="Calibri" w:hAnsi="Calibri"/>
        </w:rPr>
        <w:t xml:space="preserve"> (2009).</w:t>
      </w:r>
      <w:proofErr w:type="gramEnd"/>
      <w:r w:rsidRPr="00970E19">
        <w:rPr>
          <w:rFonts w:ascii="Calibri" w:eastAsia="Calibri" w:hAnsi="Calibri"/>
        </w:rPr>
        <w:t xml:space="preserve"> </w:t>
      </w:r>
      <w:proofErr w:type="gramStart"/>
      <w:r w:rsidRPr="00524105">
        <w:rPr>
          <w:rFonts w:ascii="Calibri" w:eastAsia="Calibri" w:hAnsi="Calibri"/>
          <w:i/>
        </w:rPr>
        <w:t>Person</w:t>
      </w:r>
      <w:r w:rsidR="00524105" w:rsidRPr="00524105">
        <w:rPr>
          <w:rFonts w:ascii="Calibri" w:eastAsia="Calibri" w:hAnsi="Calibri"/>
          <w:i/>
        </w:rPr>
        <w:t>al recovery and mental illness</w:t>
      </w:r>
      <w:r w:rsidR="00524105">
        <w:rPr>
          <w:rFonts w:ascii="Calibri" w:eastAsia="Calibri" w:hAnsi="Calibri"/>
        </w:rPr>
        <w:t>.</w:t>
      </w:r>
      <w:proofErr w:type="gramEnd"/>
      <w:r w:rsidR="00524105">
        <w:rPr>
          <w:rFonts w:ascii="Calibri" w:eastAsia="Calibri" w:hAnsi="Calibri"/>
        </w:rPr>
        <w:t xml:space="preserve"> </w:t>
      </w:r>
      <w:r w:rsidRPr="00970E19">
        <w:rPr>
          <w:rFonts w:ascii="Calibri" w:eastAsia="Calibri" w:hAnsi="Calibri"/>
        </w:rPr>
        <w:t>Cambridge: Cambridge University Press.</w:t>
      </w:r>
    </w:p>
    <w:p w:rsidR="00711256" w:rsidRPr="00970E19" w:rsidRDefault="00711256" w:rsidP="00711256">
      <w:pPr>
        <w:jc w:val="both"/>
        <w:rPr>
          <w:rFonts w:ascii="Calibri" w:eastAsia="Calibri" w:hAnsi="Calibri"/>
        </w:rPr>
      </w:pPr>
      <w:proofErr w:type="gramStart"/>
      <w:r w:rsidRPr="00970E19">
        <w:rPr>
          <w:rFonts w:ascii="Calibri" w:eastAsia="Calibri" w:hAnsi="Calibri"/>
        </w:rPr>
        <w:t>Smith, J.A., and Osborne, M. (2008).</w:t>
      </w:r>
      <w:proofErr w:type="gramEnd"/>
      <w:r w:rsidRPr="00970E19">
        <w:rPr>
          <w:rFonts w:ascii="Calibri" w:eastAsia="Calibri" w:hAnsi="Calibri"/>
        </w:rPr>
        <w:t xml:space="preserve"> </w:t>
      </w:r>
      <w:proofErr w:type="gramStart"/>
      <w:r w:rsidRPr="00970E19">
        <w:rPr>
          <w:rFonts w:ascii="Calibri" w:eastAsia="Calibri" w:hAnsi="Calibri"/>
        </w:rPr>
        <w:t>Interpretative phenomenological analysis.</w:t>
      </w:r>
      <w:proofErr w:type="gramEnd"/>
      <w:r w:rsidRPr="00970E19">
        <w:rPr>
          <w:rFonts w:ascii="Calibri" w:eastAsia="Calibri" w:hAnsi="Calibri"/>
        </w:rPr>
        <w:t xml:space="preserve"> </w:t>
      </w:r>
      <w:proofErr w:type="gramStart"/>
      <w:r w:rsidRPr="00970E19">
        <w:rPr>
          <w:rFonts w:ascii="Calibri" w:eastAsia="Calibri" w:hAnsi="Calibri"/>
        </w:rPr>
        <w:t xml:space="preserve">In J.A. Smith (ed.) </w:t>
      </w:r>
      <w:r w:rsidRPr="00970E19">
        <w:rPr>
          <w:rFonts w:ascii="Calibri" w:eastAsia="Calibri" w:hAnsi="Calibri"/>
          <w:i/>
        </w:rPr>
        <w:t>Qualitative Psychology.</w:t>
      </w:r>
      <w:proofErr w:type="gramEnd"/>
      <w:r w:rsidRPr="00970E19">
        <w:rPr>
          <w:rFonts w:ascii="Calibri" w:eastAsia="Calibri" w:hAnsi="Calibri"/>
          <w:i/>
        </w:rPr>
        <w:t xml:space="preserve"> A Practical Guide to Research Methods, </w:t>
      </w:r>
      <w:r w:rsidRPr="00970E19">
        <w:rPr>
          <w:rFonts w:ascii="Calibri" w:eastAsia="Calibri" w:hAnsi="Calibri"/>
        </w:rPr>
        <w:t xml:space="preserve">pp 53-80. </w:t>
      </w:r>
      <w:proofErr w:type="gramStart"/>
      <w:r w:rsidRPr="00970E19">
        <w:rPr>
          <w:rFonts w:ascii="Calibri" w:eastAsia="Calibri" w:hAnsi="Calibri"/>
        </w:rPr>
        <w:t>Second edition.</w:t>
      </w:r>
      <w:proofErr w:type="gramEnd"/>
      <w:r w:rsidRPr="00970E19">
        <w:rPr>
          <w:rFonts w:ascii="Calibri" w:eastAsia="Calibri" w:hAnsi="Calibri"/>
        </w:rPr>
        <w:t xml:space="preserve"> London: Sage. </w:t>
      </w:r>
    </w:p>
    <w:p w:rsidR="00711256" w:rsidRDefault="00711256" w:rsidP="00711256">
      <w:pPr>
        <w:jc w:val="both"/>
        <w:rPr>
          <w:rFonts w:ascii="Calibri" w:eastAsia="Calibri" w:hAnsi="Calibri"/>
        </w:rPr>
      </w:pPr>
      <w:proofErr w:type="gramStart"/>
      <w:r w:rsidRPr="00970E19">
        <w:rPr>
          <w:rFonts w:ascii="Calibri" w:eastAsia="Calibri" w:hAnsi="Calibri"/>
        </w:rPr>
        <w:t>Smith, J.A., Flowers, P. and Larkin, M. (2009).</w:t>
      </w:r>
      <w:proofErr w:type="gramEnd"/>
      <w:r w:rsidRPr="00970E19">
        <w:rPr>
          <w:rFonts w:ascii="Calibri" w:eastAsia="Calibri" w:hAnsi="Calibri"/>
        </w:rPr>
        <w:t xml:space="preserve"> </w:t>
      </w:r>
      <w:proofErr w:type="gramStart"/>
      <w:r w:rsidRPr="00970E19">
        <w:rPr>
          <w:rFonts w:ascii="Calibri" w:eastAsia="Calibri" w:hAnsi="Calibri"/>
          <w:i/>
          <w:iCs/>
        </w:rPr>
        <w:t>Interpretative Phenomenological Analysis.</w:t>
      </w:r>
      <w:proofErr w:type="gramEnd"/>
      <w:r w:rsidRPr="00970E19">
        <w:rPr>
          <w:rFonts w:ascii="Calibri" w:eastAsia="Calibri" w:hAnsi="Calibri"/>
          <w:i/>
          <w:iCs/>
        </w:rPr>
        <w:t xml:space="preserve"> Theory, Method and Research, </w:t>
      </w:r>
      <w:r w:rsidRPr="00970E19">
        <w:rPr>
          <w:rFonts w:ascii="Calibri" w:eastAsia="Calibri" w:hAnsi="Calibri"/>
        </w:rPr>
        <w:t xml:space="preserve">Sage: London. </w:t>
      </w:r>
    </w:p>
    <w:p w:rsidR="00290B7F" w:rsidRPr="00290B7F" w:rsidRDefault="00290B7F" w:rsidP="00711256">
      <w:pPr>
        <w:jc w:val="both"/>
        <w:rPr>
          <w:rFonts w:ascii="Calibri" w:eastAsia="Calibri" w:hAnsi="Calibri"/>
          <w:i/>
        </w:rPr>
      </w:pPr>
      <w:proofErr w:type="gramStart"/>
      <w:r>
        <w:rPr>
          <w:rFonts w:ascii="Calibri" w:eastAsia="Calibri" w:hAnsi="Calibri"/>
        </w:rPr>
        <w:t xml:space="preserve">Stickley, T. and </w:t>
      </w:r>
      <w:proofErr w:type="spellStart"/>
      <w:r>
        <w:rPr>
          <w:rFonts w:ascii="Calibri" w:eastAsia="Calibri" w:hAnsi="Calibri"/>
        </w:rPr>
        <w:t>Hui</w:t>
      </w:r>
      <w:proofErr w:type="spellEnd"/>
      <w:r>
        <w:rPr>
          <w:rFonts w:ascii="Calibri" w:eastAsia="Calibri" w:hAnsi="Calibri"/>
        </w:rPr>
        <w:t>, A. (2012).</w:t>
      </w:r>
      <w:proofErr w:type="gramEnd"/>
      <w:r>
        <w:rPr>
          <w:rFonts w:ascii="Calibri" w:eastAsia="Calibri" w:hAnsi="Calibri"/>
        </w:rPr>
        <w:t xml:space="preserve"> Social prescribing through arts on prescription in a UK city: Participants’ perspectives (Part 1). </w:t>
      </w:r>
      <w:r>
        <w:rPr>
          <w:rFonts w:ascii="Calibri" w:eastAsia="Calibri" w:hAnsi="Calibri"/>
          <w:i/>
        </w:rPr>
        <w:t xml:space="preserve">Public Health, </w:t>
      </w:r>
      <w:r w:rsidRPr="00EB335F">
        <w:rPr>
          <w:rFonts w:ascii="Calibri" w:eastAsia="Calibri" w:hAnsi="Calibri"/>
        </w:rPr>
        <w:t>126, 574-579.</w:t>
      </w:r>
    </w:p>
    <w:p w:rsidR="001C7E6A" w:rsidRPr="001C7E6A" w:rsidRDefault="001C7E6A" w:rsidP="001C7E6A">
      <w:pPr>
        <w:jc w:val="both"/>
        <w:rPr>
          <w:rFonts w:ascii="Calibri" w:eastAsia="Calibri" w:hAnsi="Calibri"/>
          <w:lang w:val="en-GB"/>
        </w:rPr>
      </w:pPr>
      <w:r w:rsidRPr="001C7E6A">
        <w:rPr>
          <w:rFonts w:ascii="Calibri" w:eastAsia="Calibri" w:hAnsi="Calibri"/>
          <w:lang w:val="en-GB"/>
        </w:rPr>
        <w:t>Strong, S. (1998)</w:t>
      </w:r>
      <w:r w:rsidR="00524105">
        <w:rPr>
          <w:rFonts w:ascii="Calibri" w:eastAsia="Calibri" w:hAnsi="Calibri"/>
          <w:lang w:val="en-GB"/>
        </w:rPr>
        <w:t>.</w:t>
      </w:r>
      <w:r w:rsidRPr="001C7E6A">
        <w:rPr>
          <w:rFonts w:ascii="Calibri" w:eastAsia="Calibri" w:hAnsi="Calibri"/>
          <w:lang w:val="en-GB"/>
        </w:rPr>
        <w:t xml:space="preserve"> Meaningful Work in Supportive Environments: Experiences with the Recovery Process. </w:t>
      </w:r>
      <w:r w:rsidRPr="001C7E6A">
        <w:rPr>
          <w:rFonts w:ascii="Calibri" w:eastAsia="Calibri" w:hAnsi="Calibri"/>
          <w:i/>
          <w:iCs/>
          <w:lang w:val="en-GB"/>
        </w:rPr>
        <w:t xml:space="preserve">American Journal of Occupational Therapy, </w:t>
      </w:r>
      <w:r w:rsidRPr="00EB335F">
        <w:rPr>
          <w:rFonts w:ascii="Calibri" w:eastAsia="Calibri" w:hAnsi="Calibri"/>
          <w:iCs/>
          <w:lang w:val="en-GB"/>
        </w:rPr>
        <w:t>52(1), 31-38.</w:t>
      </w:r>
      <w:r w:rsidRPr="001C7E6A">
        <w:rPr>
          <w:rFonts w:ascii="Calibri" w:eastAsia="Calibri" w:hAnsi="Calibri"/>
          <w:i/>
          <w:iCs/>
          <w:lang w:val="en-GB"/>
        </w:rPr>
        <w:t xml:space="preserve"> </w:t>
      </w:r>
    </w:p>
    <w:p w:rsidR="00711256" w:rsidRDefault="00711256" w:rsidP="00711256">
      <w:pPr>
        <w:jc w:val="both"/>
        <w:rPr>
          <w:rFonts w:ascii="Calibri" w:eastAsia="Calibri" w:hAnsi="Calibri"/>
        </w:rPr>
      </w:pPr>
      <w:proofErr w:type="gramStart"/>
      <w:r w:rsidRPr="00970E19">
        <w:rPr>
          <w:rFonts w:ascii="Calibri" w:eastAsia="Calibri" w:hAnsi="Calibri"/>
        </w:rPr>
        <w:t>United Nations.</w:t>
      </w:r>
      <w:proofErr w:type="gramEnd"/>
      <w:r w:rsidRPr="00970E19">
        <w:rPr>
          <w:rFonts w:ascii="Calibri" w:eastAsia="Calibri" w:hAnsi="Calibri"/>
        </w:rPr>
        <w:t xml:space="preserve"> </w:t>
      </w:r>
      <w:proofErr w:type="gramStart"/>
      <w:r w:rsidRPr="00970E19">
        <w:rPr>
          <w:rFonts w:ascii="Calibri" w:eastAsia="Calibri" w:hAnsi="Calibri"/>
        </w:rPr>
        <w:t xml:space="preserve">(1948). </w:t>
      </w:r>
      <w:r w:rsidRPr="00970E19">
        <w:rPr>
          <w:rFonts w:ascii="Calibri" w:eastAsia="Calibri" w:hAnsi="Calibri"/>
          <w:i/>
        </w:rPr>
        <w:t>Universal Declaration of Human Rights.</w:t>
      </w:r>
      <w:proofErr w:type="gramEnd"/>
      <w:r w:rsidRPr="00970E19">
        <w:rPr>
          <w:rFonts w:ascii="Calibri" w:eastAsia="Calibri" w:hAnsi="Calibri"/>
          <w:i/>
        </w:rPr>
        <w:t xml:space="preserve"> </w:t>
      </w:r>
      <w:r w:rsidRPr="00970E19">
        <w:rPr>
          <w:rFonts w:ascii="Calibri" w:eastAsia="Calibri" w:hAnsi="Calibri"/>
        </w:rPr>
        <w:t xml:space="preserve">Retrieved from </w:t>
      </w:r>
      <w:hyperlink r:id="rId7" w:history="1">
        <w:r w:rsidRPr="00970E19">
          <w:rPr>
            <w:rFonts w:ascii="Calibri" w:eastAsia="Calibri" w:hAnsi="Calibri"/>
            <w:color w:val="0000FF"/>
            <w:u w:val="single"/>
          </w:rPr>
          <w:t>http://www.un.org/Overview/rights.html</w:t>
        </w:r>
      </w:hyperlink>
      <w:r w:rsidRPr="00970E19">
        <w:rPr>
          <w:rFonts w:ascii="Calibri" w:eastAsia="Calibri" w:hAnsi="Calibri"/>
        </w:rPr>
        <w:t xml:space="preserve"> </w:t>
      </w:r>
    </w:p>
    <w:p w:rsidR="00374166" w:rsidRPr="00374166" w:rsidRDefault="00374166" w:rsidP="00711256">
      <w:pPr>
        <w:jc w:val="both"/>
        <w:rPr>
          <w:rFonts w:ascii="Calibri" w:eastAsia="Calibri" w:hAnsi="Calibri"/>
          <w:lang w:val="en-GB"/>
        </w:rPr>
      </w:pPr>
      <w:r w:rsidRPr="001C7E6A">
        <w:rPr>
          <w:rFonts w:ascii="Calibri" w:eastAsia="Calibri" w:hAnsi="Calibri"/>
          <w:lang w:val="en-GB"/>
        </w:rPr>
        <w:t>Van Niekerk, L. (2009)</w:t>
      </w:r>
      <w:r>
        <w:rPr>
          <w:rFonts w:ascii="Calibri" w:eastAsia="Calibri" w:hAnsi="Calibri"/>
          <w:lang w:val="en-GB"/>
        </w:rPr>
        <w:t>.</w:t>
      </w:r>
      <w:r w:rsidRPr="001C7E6A">
        <w:rPr>
          <w:rFonts w:ascii="Calibri" w:eastAsia="Calibri" w:hAnsi="Calibri"/>
          <w:lang w:val="en-GB"/>
        </w:rPr>
        <w:t xml:space="preserve"> Participation in work: A source of wellness for people with psychiatric disability. </w:t>
      </w:r>
      <w:r w:rsidRPr="001C7E6A">
        <w:rPr>
          <w:rFonts w:ascii="Calibri" w:eastAsia="Calibri" w:hAnsi="Calibri"/>
          <w:i/>
          <w:iCs/>
          <w:lang w:val="en-GB"/>
        </w:rPr>
        <w:t xml:space="preserve">Work, </w:t>
      </w:r>
      <w:r w:rsidRPr="00EB335F">
        <w:rPr>
          <w:rFonts w:ascii="Calibri" w:eastAsia="Calibri" w:hAnsi="Calibri"/>
          <w:iCs/>
          <w:lang w:val="en-GB"/>
        </w:rPr>
        <w:t>32(4), 455-465.</w:t>
      </w:r>
      <w:r w:rsidRPr="001C7E6A">
        <w:rPr>
          <w:rFonts w:ascii="Calibri" w:eastAsia="Calibri" w:hAnsi="Calibri"/>
          <w:lang w:val="en-GB"/>
        </w:rPr>
        <w:t xml:space="preserve"> </w:t>
      </w:r>
    </w:p>
    <w:p w:rsidR="00290B7F" w:rsidRDefault="00290B7F" w:rsidP="00711256">
      <w:pPr>
        <w:jc w:val="both"/>
        <w:rPr>
          <w:rFonts w:ascii="Calibri" w:eastAsia="Calibri" w:hAnsi="Calibri"/>
          <w:i/>
        </w:rPr>
      </w:pPr>
      <w:proofErr w:type="gramStart"/>
      <w:r>
        <w:rPr>
          <w:rFonts w:ascii="Calibri" w:eastAsia="Calibri" w:hAnsi="Calibri"/>
        </w:rPr>
        <w:t xml:space="preserve">Vaught, E. and </w:t>
      </w:r>
      <w:proofErr w:type="spellStart"/>
      <w:r>
        <w:rPr>
          <w:rFonts w:ascii="Calibri" w:eastAsia="Calibri" w:hAnsi="Calibri"/>
        </w:rPr>
        <w:t>Wittman</w:t>
      </w:r>
      <w:proofErr w:type="spellEnd"/>
      <w:r>
        <w:rPr>
          <w:rFonts w:ascii="Calibri" w:eastAsia="Calibri" w:hAnsi="Calibri"/>
        </w:rPr>
        <w:t>, P. (2011).</w:t>
      </w:r>
      <w:proofErr w:type="gramEnd"/>
      <w:r>
        <w:rPr>
          <w:rFonts w:ascii="Calibri" w:eastAsia="Calibri" w:hAnsi="Calibri"/>
        </w:rPr>
        <w:t xml:space="preserve"> </w:t>
      </w:r>
      <w:proofErr w:type="gramStart"/>
      <w:r>
        <w:rPr>
          <w:rFonts w:ascii="Calibri" w:eastAsia="Calibri" w:hAnsi="Calibri"/>
        </w:rPr>
        <w:t>A Phenomenological Study of the Occupational Choices of Individuals Who Self Identify as Adult Children of Alcoholics.</w:t>
      </w:r>
      <w:proofErr w:type="gramEnd"/>
      <w:r>
        <w:rPr>
          <w:rFonts w:ascii="Calibri" w:eastAsia="Calibri" w:hAnsi="Calibri"/>
        </w:rPr>
        <w:t xml:space="preserve"> </w:t>
      </w:r>
      <w:r>
        <w:rPr>
          <w:rFonts w:ascii="Calibri" w:eastAsia="Calibri" w:hAnsi="Calibri"/>
          <w:i/>
        </w:rPr>
        <w:t xml:space="preserve">Journal of Occupational Science, </w:t>
      </w:r>
      <w:r w:rsidRPr="00EB335F">
        <w:rPr>
          <w:rFonts w:ascii="Calibri" w:eastAsia="Calibri" w:hAnsi="Calibri"/>
        </w:rPr>
        <w:t>18(4),</w:t>
      </w:r>
      <w:r>
        <w:rPr>
          <w:rFonts w:ascii="Calibri" w:eastAsia="Calibri" w:hAnsi="Calibri"/>
          <w:i/>
        </w:rPr>
        <w:t xml:space="preserve"> </w:t>
      </w:r>
      <w:r w:rsidRPr="00EB335F">
        <w:rPr>
          <w:rFonts w:ascii="Calibri" w:eastAsia="Calibri" w:hAnsi="Calibri"/>
        </w:rPr>
        <w:t>356-365.</w:t>
      </w:r>
    </w:p>
    <w:p w:rsidR="00EB335F" w:rsidRPr="00EB335F" w:rsidRDefault="00EB335F" w:rsidP="00711256">
      <w:pPr>
        <w:jc w:val="both"/>
        <w:rPr>
          <w:rFonts w:ascii="Calibri" w:eastAsia="Calibri" w:hAnsi="Calibri"/>
          <w:i/>
        </w:rPr>
      </w:pPr>
      <w:r>
        <w:rPr>
          <w:rFonts w:ascii="Calibri" w:eastAsia="Calibri" w:hAnsi="Calibri"/>
        </w:rPr>
        <w:lastRenderedPageBreak/>
        <w:t xml:space="preserve">Whalley Hammell, K. (2004). </w:t>
      </w:r>
      <w:proofErr w:type="gramStart"/>
      <w:r>
        <w:rPr>
          <w:rFonts w:ascii="Calibri" w:eastAsia="Calibri" w:hAnsi="Calibri"/>
        </w:rPr>
        <w:t>Dimensions of meaning in the occupations of daily life.</w:t>
      </w:r>
      <w:proofErr w:type="gramEnd"/>
      <w:r>
        <w:rPr>
          <w:rFonts w:ascii="Calibri" w:eastAsia="Calibri" w:hAnsi="Calibri"/>
        </w:rPr>
        <w:t xml:space="preserve"> </w:t>
      </w:r>
      <w:r>
        <w:rPr>
          <w:rFonts w:ascii="Calibri" w:eastAsia="Calibri" w:hAnsi="Calibri"/>
          <w:i/>
        </w:rPr>
        <w:t xml:space="preserve">Canadian Journal of Occupational Therapy, </w:t>
      </w:r>
      <w:r w:rsidRPr="00EB335F">
        <w:rPr>
          <w:rFonts w:ascii="Calibri" w:eastAsia="Calibri" w:hAnsi="Calibri"/>
        </w:rPr>
        <w:t>71(5), 296-305.</w:t>
      </w:r>
    </w:p>
    <w:p w:rsidR="00711256" w:rsidRPr="00970E19" w:rsidRDefault="00711256" w:rsidP="00711256">
      <w:pPr>
        <w:jc w:val="both"/>
        <w:rPr>
          <w:rFonts w:ascii="Calibri" w:eastAsia="Calibri" w:hAnsi="Calibri"/>
        </w:rPr>
      </w:pPr>
      <w:r w:rsidRPr="00970E19">
        <w:rPr>
          <w:rFonts w:ascii="Calibri" w:eastAsia="Calibri" w:hAnsi="Calibri"/>
        </w:rPr>
        <w:t xml:space="preserve">Wilcock, A.A. (1998). </w:t>
      </w:r>
      <w:proofErr w:type="gramStart"/>
      <w:r w:rsidRPr="00970E19">
        <w:rPr>
          <w:rFonts w:ascii="Calibri" w:eastAsia="Calibri" w:hAnsi="Calibri"/>
        </w:rPr>
        <w:t>Reflections on doing, being and becoming.</w:t>
      </w:r>
      <w:proofErr w:type="gramEnd"/>
      <w:r w:rsidRPr="00970E19">
        <w:rPr>
          <w:rFonts w:ascii="Calibri" w:eastAsia="Calibri" w:hAnsi="Calibri"/>
        </w:rPr>
        <w:t xml:space="preserve"> </w:t>
      </w:r>
      <w:r w:rsidRPr="00970E19">
        <w:rPr>
          <w:rFonts w:ascii="Calibri" w:eastAsia="Calibri" w:hAnsi="Calibri"/>
          <w:i/>
          <w:iCs/>
        </w:rPr>
        <w:t>Canadian Journal of Occupational Therapy</w:t>
      </w:r>
      <w:r w:rsidRPr="00EB335F">
        <w:rPr>
          <w:rFonts w:ascii="Calibri" w:eastAsia="Calibri" w:hAnsi="Calibri"/>
          <w:iCs/>
        </w:rPr>
        <w:t>, 65(5), 248-257.</w:t>
      </w:r>
      <w:r w:rsidRPr="00970E19">
        <w:rPr>
          <w:rFonts w:ascii="Calibri" w:eastAsia="Calibri" w:hAnsi="Calibri"/>
        </w:rPr>
        <w:t xml:space="preserve"> </w:t>
      </w:r>
    </w:p>
    <w:p w:rsidR="00711256" w:rsidRDefault="00711256" w:rsidP="00711256">
      <w:pPr>
        <w:jc w:val="both"/>
        <w:rPr>
          <w:rFonts w:ascii="Calibri" w:eastAsia="Calibri" w:hAnsi="Calibri"/>
        </w:rPr>
      </w:pPr>
      <w:r w:rsidRPr="00970E19">
        <w:rPr>
          <w:rFonts w:ascii="Calibri" w:eastAsia="Calibri" w:hAnsi="Calibri"/>
        </w:rPr>
        <w:t xml:space="preserve">Wilcock, A. (2006). </w:t>
      </w:r>
      <w:proofErr w:type="gramStart"/>
      <w:r w:rsidRPr="00970E19">
        <w:rPr>
          <w:rFonts w:ascii="Calibri" w:eastAsia="Calibri" w:hAnsi="Calibri"/>
          <w:i/>
          <w:iCs/>
        </w:rPr>
        <w:t>An Occupational Perspective of Health.</w:t>
      </w:r>
      <w:proofErr w:type="gramEnd"/>
      <w:r w:rsidRPr="00970E19">
        <w:rPr>
          <w:rFonts w:ascii="Calibri" w:eastAsia="Calibri" w:hAnsi="Calibri"/>
          <w:i/>
          <w:iCs/>
        </w:rPr>
        <w:t xml:space="preserve"> </w:t>
      </w:r>
      <w:proofErr w:type="gramStart"/>
      <w:r w:rsidRPr="00970E19">
        <w:rPr>
          <w:rFonts w:ascii="Calibri" w:eastAsia="Calibri" w:hAnsi="Calibri"/>
          <w:iCs/>
        </w:rPr>
        <w:t>Second Edition.</w:t>
      </w:r>
      <w:proofErr w:type="gramEnd"/>
      <w:r w:rsidRPr="00970E19">
        <w:rPr>
          <w:rFonts w:ascii="Calibri" w:eastAsia="Calibri" w:hAnsi="Calibri"/>
          <w:iCs/>
        </w:rPr>
        <w:t xml:space="preserve"> </w:t>
      </w:r>
      <w:r w:rsidRPr="00970E19">
        <w:rPr>
          <w:rFonts w:ascii="Calibri" w:eastAsia="Calibri" w:hAnsi="Calibri"/>
        </w:rPr>
        <w:t>New Jersey: Slack.</w:t>
      </w:r>
    </w:p>
    <w:p w:rsidR="00267C59" w:rsidRPr="00970E19" w:rsidRDefault="00267C59" w:rsidP="00711256">
      <w:pPr>
        <w:jc w:val="both"/>
        <w:rPr>
          <w:rFonts w:ascii="Calibri" w:eastAsia="Calibri" w:hAnsi="Calibri"/>
        </w:rPr>
      </w:pPr>
      <w:proofErr w:type="gramStart"/>
      <w:r>
        <w:rPr>
          <w:rFonts w:ascii="Calibri" w:eastAsia="Calibri" w:hAnsi="Calibri"/>
        </w:rPr>
        <w:t>WFOT(</w:t>
      </w:r>
      <w:proofErr w:type="gramEnd"/>
      <w:r>
        <w:rPr>
          <w:rFonts w:ascii="Calibri" w:eastAsia="Calibri" w:hAnsi="Calibri"/>
        </w:rPr>
        <w:t>2012)</w:t>
      </w:r>
      <w:hyperlink r:id="rId8" w:history="1">
        <w:r w:rsidRPr="00E03154">
          <w:rPr>
            <w:rStyle w:val="Hyperlink"/>
            <w:rFonts w:ascii="Calibri" w:eastAsia="Calibri" w:hAnsi="Calibri"/>
          </w:rPr>
          <w:t>http://www.wfot.org/aboutus/aboutoccupationaltherapy/definitionofoccupationaltherapy.aspx</w:t>
        </w:r>
      </w:hyperlink>
      <w:r>
        <w:rPr>
          <w:rFonts w:ascii="Calibri" w:eastAsia="Calibri" w:hAnsi="Calibri"/>
        </w:rPr>
        <w:t xml:space="preserve"> accessed 9th August, 2013</w:t>
      </w:r>
    </w:p>
    <w:p w:rsidR="00711256" w:rsidRPr="00A71758" w:rsidRDefault="00711256" w:rsidP="00711256">
      <w:pPr>
        <w:jc w:val="both"/>
        <w:rPr>
          <w:rFonts w:ascii="Calibri" w:eastAsia="Calibri" w:hAnsi="Calibri"/>
        </w:rPr>
      </w:pPr>
      <w:proofErr w:type="gramStart"/>
      <w:r w:rsidRPr="00970E19">
        <w:rPr>
          <w:rFonts w:ascii="Calibri" w:eastAsia="Calibri" w:hAnsi="Calibri"/>
        </w:rPr>
        <w:t>World Health Organization.</w:t>
      </w:r>
      <w:proofErr w:type="gramEnd"/>
      <w:r w:rsidRPr="00970E19">
        <w:rPr>
          <w:rFonts w:ascii="Calibri" w:eastAsia="Calibri" w:hAnsi="Calibri"/>
        </w:rPr>
        <w:t xml:space="preserve"> (2000) </w:t>
      </w:r>
      <w:proofErr w:type="gramStart"/>
      <w:r w:rsidRPr="00970E19">
        <w:rPr>
          <w:rFonts w:ascii="Calibri" w:eastAsia="Calibri" w:hAnsi="Calibri"/>
          <w:i/>
        </w:rPr>
        <w:t>Mental</w:t>
      </w:r>
      <w:proofErr w:type="gramEnd"/>
      <w:r w:rsidRPr="00970E19">
        <w:rPr>
          <w:rFonts w:ascii="Calibri" w:eastAsia="Calibri" w:hAnsi="Calibri"/>
          <w:i/>
        </w:rPr>
        <w:t xml:space="preserve"> health and work: Impact, Issues and Good Practices. </w:t>
      </w:r>
      <w:r w:rsidRPr="00970E19">
        <w:rPr>
          <w:rFonts w:ascii="Calibri" w:eastAsia="Calibri" w:hAnsi="Calibri"/>
        </w:rPr>
        <w:t xml:space="preserve"> Geneva: World Health Organization.</w:t>
      </w:r>
    </w:p>
    <w:p w:rsidR="001C7E6A" w:rsidRDefault="001C7E6A" w:rsidP="001C7E6A">
      <w:pPr>
        <w:jc w:val="both"/>
        <w:rPr>
          <w:rFonts w:ascii="Calibri" w:eastAsia="Calibri" w:hAnsi="Calibri"/>
          <w:i/>
          <w:iCs/>
          <w:lang w:val="en-GB"/>
        </w:rPr>
      </w:pPr>
      <w:proofErr w:type="gramStart"/>
      <w:r w:rsidRPr="001C7E6A">
        <w:rPr>
          <w:rFonts w:ascii="Calibri" w:eastAsia="Calibri" w:hAnsi="Calibri"/>
          <w:lang w:val="en-GB"/>
        </w:rPr>
        <w:t>Woodside, H., Schell, L. and Allison-Hedges, J. (2006)</w:t>
      </w:r>
      <w:r w:rsidR="00524105">
        <w:rPr>
          <w:rFonts w:ascii="Calibri" w:eastAsia="Calibri" w:hAnsi="Calibri"/>
          <w:lang w:val="en-GB"/>
        </w:rPr>
        <w:t>.</w:t>
      </w:r>
      <w:proofErr w:type="gramEnd"/>
      <w:r w:rsidRPr="001C7E6A">
        <w:rPr>
          <w:rFonts w:ascii="Calibri" w:eastAsia="Calibri" w:hAnsi="Calibri"/>
          <w:lang w:val="en-GB"/>
        </w:rPr>
        <w:t xml:space="preserve"> </w:t>
      </w:r>
      <w:proofErr w:type="gramStart"/>
      <w:r w:rsidRPr="001C7E6A">
        <w:rPr>
          <w:rFonts w:ascii="Calibri" w:eastAsia="Calibri" w:hAnsi="Calibri"/>
          <w:lang w:val="en-GB"/>
        </w:rPr>
        <w:t>Listening for recovery: the vocational success of people living with mental illness.</w:t>
      </w:r>
      <w:proofErr w:type="gramEnd"/>
      <w:r w:rsidRPr="001C7E6A">
        <w:rPr>
          <w:rFonts w:ascii="Calibri" w:eastAsia="Calibri" w:hAnsi="Calibri"/>
          <w:lang w:val="en-GB"/>
        </w:rPr>
        <w:t xml:space="preserve"> </w:t>
      </w:r>
      <w:r w:rsidRPr="001C7E6A">
        <w:rPr>
          <w:rFonts w:ascii="Calibri" w:eastAsia="Calibri" w:hAnsi="Calibri"/>
          <w:i/>
          <w:iCs/>
          <w:lang w:val="en-GB"/>
        </w:rPr>
        <w:t xml:space="preserve">Canadian Journal of Occupational Therapy, </w:t>
      </w:r>
      <w:r w:rsidRPr="00EB335F">
        <w:rPr>
          <w:rFonts w:ascii="Calibri" w:eastAsia="Calibri" w:hAnsi="Calibri"/>
          <w:iCs/>
          <w:lang w:val="en-GB"/>
        </w:rPr>
        <w:t>73(1), 36-43.</w:t>
      </w:r>
      <w:r w:rsidRPr="001C7E6A">
        <w:rPr>
          <w:rFonts w:ascii="Calibri" w:eastAsia="Calibri" w:hAnsi="Calibri"/>
          <w:i/>
          <w:iCs/>
          <w:lang w:val="en-GB"/>
        </w:rPr>
        <w:t xml:space="preserve"> </w:t>
      </w:r>
    </w:p>
    <w:p w:rsidR="00D75AA2" w:rsidRPr="00D75AA2" w:rsidRDefault="00D75AA2" w:rsidP="001C7E6A">
      <w:pPr>
        <w:jc w:val="both"/>
        <w:rPr>
          <w:rFonts w:ascii="Calibri" w:eastAsia="Calibri" w:hAnsi="Calibri"/>
          <w:i/>
          <w:lang w:val="en-GB"/>
        </w:rPr>
      </w:pPr>
      <w:r>
        <w:rPr>
          <w:rFonts w:ascii="Calibri" w:eastAsia="Calibri" w:hAnsi="Calibri"/>
          <w:iCs/>
          <w:lang w:val="en-GB"/>
        </w:rPr>
        <w:t>Yerxa, E. (1998).</w:t>
      </w:r>
      <w:r>
        <w:rPr>
          <w:rFonts w:ascii="Calibri" w:eastAsia="Calibri" w:hAnsi="Calibri"/>
          <w:i/>
          <w:iCs/>
          <w:lang w:val="en-GB"/>
        </w:rPr>
        <w:t xml:space="preserve"> </w:t>
      </w:r>
      <w:proofErr w:type="gramStart"/>
      <w:r>
        <w:rPr>
          <w:rFonts w:ascii="Calibri" w:eastAsia="Calibri" w:hAnsi="Calibri"/>
          <w:iCs/>
          <w:lang w:val="en-GB"/>
        </w:rPr>
        <w:t>Health and the human spirit for occupation.</w:t>
      </w:r>
      <w:proofErr w:type="gramEnd"/>
      <w:r>
        <w:rPr>
          <w:rFonts w:ascii="Calibri" w:eastAsia="Calibri" w:hAnsi="Calibri"/>
          <w:iCs/>
          <w:lang w:val="en-GB"/>
        </w:rPr>
        <w:t xml:space="preserve"> </w:t>
      </w:r>
      <w:r>
        <w:rPr>
          <w:rFonts w:ascii="Calibri" w:eastAsia="Calibri" w:hAnsi="Calibri"/>
          <w:i/>
          <w:iCs/>
          <w:lang w:val="en-GB"/>
        </w:rPr>
        <w:t xml:space="preserve">American Journal of Occupational Therapy, </w:t>
      </w:r>
      <w:r w:rsidRPr="00EB335F">
        <w:rPr>
          <w:rFonts w:ascii="Calibri" w:eastAsia="Calibri" w:hAnsi="Calibri"/>
          <w:iCs/>
          <w:lang w:val="en-GB"/>
        </w:rPr>
        <w:t>52, 412-418.</w:t>
      </w:r>
    </w:p>
    <w:p w:rsidR="00711256" w:rsidRPr="00A71758" w:rsidRDefault="00711256" w:rsidP="00711256">
      <w:pPr>
        <w:jc w:val="both"/>
        <w:rPr>
          <w:rFonts w:ascii="Calibri" w:eastAsia="Calibri" w:hAnsi="Calibri"/>
        </w:rPr>
      </w:pPr>
    </w:p>
    <w:p w:rsidR="00711256" w:rsidRDefault="00711256" w:rsidP="00711256"/>
    <w:p w:rsidR="009763D9" w:rsidRPr="009763D9" w:rsidRDefault="009763D9" w:rsidP="009763D9">
      <w:pPr>
        <w:jc w:val="both"/>
        <w:rPr>
          <w:rFonts w:asciiTheme="minorHAnsi" w:hAnsiTheme="minorHAnsi"/>
        </w:rPr>
      </w:pPr>
    </w:p>
    <w:p w:rsidR="009763D9" w:rsidRPr="00F01843" w:rsidRDefault="009763D9" w:rsidP="009763D9">
      <w:pPr>
        <w:jc w:val="both"/>
        <w:rPr>
          <w:rFonts w:asciiTheme="minorHAnsi" w:hAnsiTheme="minorHAnsi"/>
          <w:strike/>
        </w:rPr>
      </w:pPr>
    </w:p>
    <w:p w:rsidR="009763D9" w:rsidRPr="00A75BC3" w:rsidRDefault="009763D9" w:rsidP="00A75BC3">
      <w:pPr>
        <w:jc w:val="both"/>
        <w:rPr>
          <w:rFonts w:asciiTheme="minorHAnsi" w:hAnsiTheme="minorHAnsi"/>
        </w:rPr>
      </w:pPr>
    </w:p>
    <w:sectPr w:rsidR="009763D9" w:rsidRPr="00A75BC3" w:rsidSect="009412E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FAB" w:rsidRDefault="00374FAB" w:rsidP="009763D9">
      <w:pPr>
        <w:spacing w:after="0" w:line="240" w:lineRule="auto"/>
      </w:pPr>
      <w:r>
        <w:separator/>
      </w:r>
    </w:p>
  </w:endnote>
  <w:endnote w:type="continuationSeparator" w:id="0">
    <w:p w:rsidR="00374FAB" w:rsidRDefault="00374FAB" w:rsidP="00976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0333"/>
      <w:docPartObj>
        <w:docPartGallery w:val="Page Numbers (Bottom of Page)"/>
        <w:docPartUnique/>
      </w:docPartObj>
    </w:sdtPr>
    <w:sdtContent>
      <w:p w:rsidR="00E040DB" w:rsidRDefault="00BD319D">
        <w:pPr>
          <w:pStyle w:val="Footer"/>
          <w:jc w:val="center"/>
        </w:pPr>
        <w:fldSimple w:instr=" PAGE   \* MERGEFORMAT ">
          <w:r w:rsidR="00384884">
            <w:rPr>
              <w:noProof/>
            </w:rPr>
            <w:t>16</w:t>
          </w:r>
        </w:fldSimple>
      </w:p>
    </w:sdtContent>
  </w:sdt>
  <w:p w:rsidR="00E040DB" w:rsidRDefault="00E04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FAB" w:rsidRDefault="00374FAB" w:rsidP="009763D9">
      <w:pPr>
        <w:spacing w:after="0" w:line="240" w:lineRule="auto"/>
      </w:pPr>
      <w:r>
        <w:separator/>
      </w:r>
    </w:p>
  </w:footnote>
  <w:footnote w:type="continuationSeparator" w:id="0">
    <w:p w:rsidR="00374FAB" w:rsidRDefault="00374FAB" w:rsidP="00976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637C"/>
    <w:multiLevelType w:val="hybridMultilevel"/>
    <w:tmpl w:val="A866DE48"/>
    <w:lvl w:ilvl="0" w:tplc="013EF20C">
      <w:start w:val="1"/>
      <w:numFmt w:val="bullet"/>
      <w:lvlText w:val="•"/>
      <w:lvlJc w:val="left"/>
      <w:pPr>
        <w:tabs>
          <w:tab w:val="num" w:pos="720"/>
        </w:tabs>
        <w:ind w:left="720" w:hanging="360"/>
      </w:pPr>
      <w:rPr>
        <w:rFonts w:ascii="Arial" w:hAnsi="Arial" w:hint="default"/>
      </w:rPr>
    </w:lvl>
    <w:lvl w:ilvl="1" w:tplc="796CB5A0" w:tentative="1">
      <w:start w:val="1"/>
      <w:numFmt w:val="bullet"/>
      <w:lvlText w:val="•"/>
      <w:lvlJc w:val="left"/>
      <w:pPr>
        <w:tabs>
          <w:tab w:val="num" w:pos="1440"/>
        </w:tabs>
        <w:ind w:left="1440" w:hanging="360"/>
      </w:pPr>
      <w:rPr>
        <w:rFonts w:ascii="Arial" w:hAnsi="Arial" w:hint="default"/>
      </w:rPr>
    </w:lvl>
    <w:lvl w:ilvl="2" w:tplc="6BA623B6" w:tentative="1">
      <w:start w:val="1"/>
      <w:numFmt w:val="bullet"/>
      <w:lvlText w:val="•"/>
      <w:lvlJc w:val="left"/>
      <w:pPr>
        <w:tabs>
          <w:tab w:val="num" w:pos="2160"/>
        </w:tabs>
        <w:ind w:left="2160" w:hanging="360"/>
      </w:pPr>
      <w:rPr>
        <w:rFonts w:ascii="Arial" w:hAnsi="Arial" w:hint="default"/>
      </w:rPr>
    </w:lvl>
    <w:lvl w:ilvl="3" w:tplc="74649D32" w:tentative="1">
      <w:start w:val="1"/>
      <w:numFmt w:val="bullet"/>
      <w:lvlText w:val="•"/>
      <w:lvlJc w:val="left"/>
      <w:pPr>
        <w:tabs>
          <w:tab w:val="num" w:pos="2880"/>
        </w:tabs>
        <w:ind w:left="2880" w:hanging="360"/>
      </w:pPr>
      <w:rPr>
        <w:rFonts w:ascii="Arial" w:hAnsi="Arial" w:hint="default"/>
      </w:rPr>
    </w:lvl>
    <w:lvl w:ilvl="4" w:tplc="14F21078" w:tentative="1">
      <w:start w:val="1"/>
      <w:numFmt w:val="bullet"/>
      <w:lvlText w:val="•"/>
      <w:lvlJc w:val="left"/>
      <w:pPr>
        <w:tabs>
          <w:tab w:val="num" w:pos="3600"/>
        </w:tabs>
        <w:ind w:left="3600" w:hanging="360"/>
      </w:pPr>
      <w:rPr>
        <w:rFonts w:ascii="Arial" w:hAnsi="Arial" w:hint="default"/>
      </w:rPr>
    </w:lvl>
    <w:lvl w:ilvl="5" w:tplc="514A0064" w:tentative="1">
      <w:start w:val="1"/>
      <w:numFmt w:val="bullet"/>
      <w:lvlText w:val="•"/>
      <w:lvlJc w:val="left"/>
      <w:pPr>
        <w:tabs>
          <w:tab w:val="num" w:pos="4320"/>
        </w:tabs>
        <w:ind w:left="4320" w:hanging="360"/>
      </w:pPr>
      <w:rPr>
        <w:rFonts w:ascii="Arial" w:hAnsi="Arial" w:hint="default"/>
      </w:rPr>
    </w:lvl>
    <w:lvl w:ilvl="6" w:tplc="5600CBC6" w:tentative="1">
      <w:start w:val="1"/>
      <w:numFmt w:val="bullet"/>
      <w:lvlText w:val="•"/>
      <w:lvlJc w:val="left"/>
      <w:pPr>
        <w:tabs>
          <w:tab w:val="num" w:pos="5040"/>
        </w:tabs>
        <w:ind w:left="5040" w:hanging="360"/>
      </w:pPr>
      <w:rPr>
        <w:rFonts w:ascii="Arial" w:hAnsi="Arial" w:hint="default"/>
      </w:rPr>
    </w:lvl>
    <w:lvl w:ilvl="7" w:tplc="DF16CA6A" w:tentative="1">
      <w:start w:val="1"/>
      <w:numFmt w:val="bullet"/>
      <w:lvlText w:val="•"/>
      <w:lvlJc w:val="left"/>
      <w:pPr>
        <w:tabs>
          <w:tab w:val="num" w:pos="5760"/>
        </w:tabs>
        <w:ind w:left="5760" w:hanging="360"/>
      </w:pPr>
      <w:rPr>
        <w:rFonts w:ascii="Arial" w:hAnsi="Arial" w:hint="default"/>
      </w:rPr>
    </w:lvl>
    <w:lvl w:ilvl="8" w:tplc="BBA2B086" w:tentative="1">
      <w:start w:val="1"/>
      <w:numFmt w:val="bullet"/>
      <w:lvlText w:val="•"/>
      <w:lvlJc w:val="left"/>
      <w:pPr>
        <w:tabs>
          <w:tab w:val="num" w:pos="6480"/>
        </w:tabs>
        <w:ind w:left="6480" w:hanging="360"/>
      </w:pPr>
      <w:rPr>
        <w:rFonts w:ascii="Arial" w:hAnsi="Arial" w:hint="default"/>
      </w:rPr>
    </w:lvl>
  </w:abstractNum>
  <w:abstractNum w:abstractNumId="1">
    <w:nsid w:val="78A06E79"/>
    <w:multiLevelType w:val="hybridMultilevel"/>
    <w:tmpl w:val="E93AF964"/>
    <w:lvl w:ilvl="0" w:tplc="F91C6C0C">
      <w:start w:val="1"/>
      <w:numFmt w:val="bullet"/>
      <w:lvlText w:val="•"/>
      <w:lvlJc w:val="left"/>
      <w:pPr>
        <w:tabs>
          <w:tab w:val="num" w:pos="720"/>
        </w:tabs>
        <w:ind w:left="720" w:hanging="360"/>
      </w:pPr>
      <w:rPr>
        <w:rFonts w:ascii="Arial" w:hAnsi="Arial" w:hint="default"/>
      </w:rPr>
    </w:lvl>
    <w:lvl w:ilvl="1" w:tplc="9468BF16" w:tentative="1">
      <w:start w:val="1"/>
      <w:numFmt w:val="bullet"/>
      <w:lvlText w:val="•"/>
      <w:lvlJc w:val="left"/>
      <w:pPr>
        <w:tabs>
          <w:tab w:val="num" w:pos="1440"/>
        </w:tabs>
        <w:ind w:left="1440" w:hanging="360"/>
      </w:pPr>
      <w:rPr>
        <w:rFonts w:ascii="Arial" w:hAnsi="Arial" w:hint="default"/>
      </w:rPr>
    </w:lvl>
    <w:lvl w:ilvl="2" w:tplc="2856B566" w:tentative="1">
      <w:start w:val="1"/>
      <w:numFmt w:val="bullet"/>
      <w:lvlText w:val="•"/>
      <w:lvlJc w:val="left"/>
      <w:pPr>
        <w:tabs>
          <w:tab w:val="num" w:pos="2160"/>
        </w:tabs>
        <w:ind w:left="2160" w:hanging="360"/>
      </w:pPr>
      <w:rPr>
        <w:rFonts w:ascii="Arial" w:hAnsi="Arial" w:hint="default"/>
      </w:rPr>
    </w:lvl>
    <w:lvl w:ilvl="3" w:tplc="A1943A56" w:tentative="1">
      <w:start w:val="1"/>
      <w:numFmt w:val="bullet"/>
      <w:lvlText w:val="•"/>
      <w:lvlJc w:val="left"/>
      <w:pPr>
        <w:tabs>
          <w:tab w:val="num" w:pos="2880"/>
        </w:tabs>
        <w:ind w:left="2880" w:hanging="360"/>
      </w:pPr>
      <w:rPr>
        <w:rFonts w:ascii="Arial" w:hAnsi="Arial" w:hint="default"/>
      </w:rPr>
    </w:lvl>
    <w:lvl w:ilvl="4" w:tplc="73587B4C" w:tentative="1">
      <w:start w:val="1"/>
      <w:numFmt w:val="bullet"/>
      <w:lvlText w:val="•"/>
      <w:lvlJc w:val="left"/>
      <w:pPr>
        <w:tabs>
          <w:tab w:val="num" w:pos="3600"/>
        </w:tabs>
        <w:ind w:left="3600" w:hanging="360"/>
      </w:pPr>
      <w:rPr>
        <w:rFonts w:ascii="Arial" w:hAnsi="Arial" w:hint="default"/>
      </w:rPr>
    </w:lvl>
    <w:lvl w:ilvl="5" w:tplc="AEC2BC08" w:tentative="1">
      <w:start w:val="1"/>
      <w:numFmt w:val="bullet"/>
      <w:lvlText w:val="•"/>
      <w:lvlJc w:val="left"/>
      <w:pPr>
        <w:tabs>
          <w:tab w:val="num" w:pos="4320"/>
        </w:tabs>
        <w:ind w:left="4320" w:hanging="360"/>
      </w:pPr>
      <w:rPr>
        <w:rFonts w:ascii="Arial" w:hAnsi="Arial" w:hint="default"/>
      </w:rPr>
    </w:lvl>
    <w:lvl w:ilvl="6" w:tplc="172C43F8" w:tentative="1">
      <w:start w:val="1"/>
      <w:numFmt w:val="bullet"/>
      <w:lvlText w:val="•"/>
      <w:lvlJc w:val="left"/>
      <w:pPr>
        <w:tabs>
          <w:tab w:val="num" w:pos="5040"/>
        </w:tabs>
        <w:ind w:left="5040" w:hanging="360"/>
      </w:pPr>
      <w:rPr>
        <w:rFonts w:ascii="Arial" w:hAnsi="Arial" w:hint="default"/>
      </w:rPr>
    </w:lvl>
    <w:lvl w:ilvl="7" w:tplc="E74871FC" w:tentative="1">
      <w:start w:val="1"/>
      <w:numFmt w:val="bullet"/>
      <w:lvlText w:val="•"/>
      <w:lvlJc w:val="left"/>
      <w:pPr>
        <w:tabs>
          <w:tab w:val="num" w:pos="5760"/>
        </w:tabs>
        <w:ind w:left="5760" w:hanging="360"/>
      </w:pPr>
      <w:rPr>
        <w:rFonts w:ascii="Arial" w:hAnsi="Arial" w:hint="default"/>
      </w:rPr>
    </w:lvl>
    <w:lvl w:ilvl="8" w:tplc="33361D58" w:tentative="1">
      <w:start w:val="1"/>
      <w:numFmt w:val="bullet"/>
      <w:lvlText w:val="•"/>
      <w:lvlJc w:val="left"/>
      <w:pPr>
        <w:tabs>
          <w:tab w:val="num" w:pos="6480"/>
        </w:tabs>
        <w:ind w:left="6480" w:hanging="360"/>
      </w:pPr>
      <w:rPr>
        <w:rFonts w:ascii="Arial" w:hAnsi="Arial" w:hint="default"/>
      </w:rPr>
    </w:lvl>
  </w:abstractNum>
  <w:abstractNum w:abstractNumId="2">
    <w:nsid w:val="7D3E7CE8"/>
    <w:multiLevelType w:val="hybridMultilevel"/>
    <w:tmpl w:val="5FA4ACAC"/>
    <w:lvl w:ilvl="0" w:tplc="B816D720">
      <w:start w:val="1"/>
      <w:numFmt w:val="bullet"/>
      <w:lvlText w:val="•"/>
      <w:lvlJc w:val="left"/>
      <w:pPr>
        <w:tabs>
          <w:tab w:val="num" w:pos="720"/>
        </w:tabs>
        <w:ind w:left="720" w:hanging="360"/>
      </w:pPr>
      <w:rPr>
        <w:rFonts w:ascii="Arial" w:hAnsi="Arial" w:hint="default"/>
      </w:rPr>
    </w:lvl>
    <w:lvl w:ilvl="1" w:tplc="7F52F4A6" w:tentative="1">
      <w:start w:val="1"/>
      <w:numFmt w:val="bullet"/>
      <w:lvlText w:val="•"/>
      <w:lvlJc w:val="left"/>
      <w:pPr>
        <w:tabs>
          <w:tab w:val="num" w:pos="1440"/>
        </w:tabs>
        <w:ind w:left="1440" w:hanging="360"/>
      </w:pPr>
      <w:rPr>
        <w:rFonts w:ascii="Arial" w:hAnsi="Arial" w:hint="default"/>
      </w:rPr>
    </w:lvl>
    <w:lvl w:ilvl="2" w:tplc="476EC20E" w:tentative="1">
      <w:start w:val="1"/>
      <w:numFmt w:val="bullet"/>
      <w:lvlText w:val="•"/>
      <w:lvlJc w:val="left"/>
      <w:pPr>
        <w:tabs>
          <w:tab w:val="num" w:pos="2160"/>
        </w:tabs>
        <w:ind w:left="2160" w:hanging="360"/>
      </w:pPr>
      <w:rPr>
        <w:rFonts w:ascii="Arial" w:hAnsi="Arial" w:hint="default"/>
      </w:rPr>
    </w:lvl>
    <w:lvl w:ilvl="3" w:tplc="4F0CF5AA" w:tentative="1">
      <w:start w:val="1"/>
      <w:numFmt w:val="bullet"/>
      <w:lvlText w:val="•"/>
      <w:lvlJc w:val="left"/>
      <w:pPr>
        <w:tabs>
          <w:tab w:val="num" w:pos="2880"/>
        </w:tabs>
        <w:ind w:left="2880" w:hanging="360"/>
      </w:pPr>
      <w:rPr>
        <w:rFonts w:ascii="Arial" w:hAnsi="Arial" w:hint="default"/>
      </w:rPr>
    </w:lvl>
    <w:lvl w:ilvl="4" w:tplc="047692B4" w:tentative="1">
      <w:start w:val="1"/>
      <w:numFmt w:val="bullet"/>
      <w:lvlText w:val="•"/>
      <w:lvlJc w:val="left"/>
      <w:pPr>
        <w:tabs>
          <w:tab w:val="num" w:pos="3600"/>
        </w:tabs>
        <w:ind w:left="3600" w:hanging="360"/>
      </w:pPr>
      <w:rPr>
        <w:rFonts w:ascii="Arial" w:hAnsi="Arial" w:hint="default"/>
      </w:rPr>
    </w:lvl>
    <w:lvl w:ilvl="5" w:tplc="9E3AAC66" w:tentative="1">
      <w:start w:val="1"/>
      <w:numFmt w:val="bullet"/>
      <w:lvlText w:val="•"/>
      <w:lvlJc w:val="left"/>
      <w:pPr>
        <w:tabs>
          <w:tab w:val="num" w:pos="4320"/>
        </w:tabs>
        <w:ind w:left="4320" w:hanging="360"/>
      </w:pPr>
      <w:rPr>
        <w:rFonts w:ascii="Arial" w:hAnsi="Arial" w:hint="default"/>
      </w:rPr>
    </w:lvl>
    <w:lvl w:ilvl="6" w:tplc="575CD492" w:tentative="1">
      <w:start w:val="1"/>
      <w:numFmt w:val="bullet"/>
      <w:lvlText w:val="•"/>
      <w:lvlJc w:val="left"/>
      <w:pPr>
        <w:tabs>
          <w:tab w:val="num" w:pos="5040"/>
        </w:tabs>
        <w:ind w:left="5040" w:hanging="360"/>
      </w:pPr>
      <w:rPr>
        <w:rFonts w:ascii="Arial" w:hAnsi="Arial" w:hint="default"/>
      </w:rPr>
    </w:lvl>
    <w:lvl w:ilvl="7" w:tplc="96ACB902" w:tentative="1">
      <w:start w:val="1"/>
      <w:numFmt w:val="bullet"/>
      <w:lvlText w:val="•"/>
      <w:lvlJc w:val="left"/>
      <w:pPr>
        <w:tabs>
          <w:tab w:val="num" w:pos="5760"/>
        </w:tabs>
        <w:ind w:left="5760" w:hanging="360"/>
      </w:pPr>
      <w:rPr>
        <w:rFonts w:ascii="Arial" w:hAnsi="Arial" w:hint="default"/>
      </w:rPr>
    </w:lvl>
    <w:lvl w:ilvl="8" w:tplc="06207E4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A75BC3"/>
    <w:rsid w:val="00013E1E"/>
    <w:rsid w:val="00022F88"/>
    <w:rsid w:val="00024BCF"/>
    <w:rsid w:val="0003006E"/>
    <w:rsid w:val="00032873"/>
    <w:rsid w:val="0003603C"/>
    <w:rsid w:val="00067F2D"/>
    <w:rsid w:val="00083D0B"/>
    <w:rsid w:val="000E3C03"/>
    <w:rsid w:val="000F4E71"/>
    <w:rsid w:val="00110CEB"/>
    <w:rsid w:val="00161C4A"/>
    <w:rsid w:val="001854E1"/>
    <w:rsid w:val="001C61F1"/>
    <w:rsid w:val="001C7E6A"/>
    <w:rsid w:val="001E009A"/>
    <w:rsid w:val="001F348C"/>
    <w:rsid w:val="00267C59"/>
    <w:rsid w:val="00276D4C"/>
    <w:rsid w:val="00290B7F"/>
    <w:rsid w:val="002A3672"/>
    <w:rsid w:val="002C3C63"/>
    <w:rsid w:val="00305D66"/>
    <w:rsid w:val="00335E96"/>
    <w:rsid w:val="00374166"/>
    <w:rsid w:val="00374FAB"/>
    <w:rsid w:val="00384884"/>
    <w:rsid w:val="003908E1"/>
    <w:rsid w:val="003A140E"/>
    <w:rsid w:val="003C3E91"/>
    <w:rsid w:val="003C66B7"/>
    <w:rsid w:val="003F5E04"/>
    <w:rsid w:val="00426985"/>
    <w:rsid w:val="00496D67"/>
    <w:rsid w:val="004A00AA"/>
    <w:rsid w:val="004C0F80"/>
    <w:rsid w:val="004D470F"/>
    <w:rsid w:val="004E0E8E"/>
    <w:rsid w:val="004E58CF"/>
    <w:rsid w:val="004F657F"/>
    <w:rsid w:val="00511BC0"/>
    <w:rsid w:val="00512C8E"/>
    <w:rsid w:val="005131D4"/>
    <w:rsid w:val="0051695A"/>
    <w:rsid w:val="00524105"/>
    <w:rsid w:val="005645B3"/>
    <w:rsid w:val="0056465A"/>
    <w:rsid w:val="005818B9"/>
    <w:rsid w:val="005918DD"/>
    <w:rsid w:val="005A23AD"/>
    <w:rsid w:val="006050C1"/>
    <w:rsid w:val="0061346B"/>
    <w:rsid w:val="006651D7"/>
    <w:rsid w:val="00672521"/>
    <w:rsid w:val="00675A39"/>
    <w:rsid w:val="00690532"/>
    <w:rsid w:val="006911AB"/>
    <w:rsid w:val="006B559A"/>
    <w:rsid w:val="00704D8C"/>
    <w:rsid w:val="00711256"/>
    <w:rsid w:val="007328E9"/>
    <w:rsid w:val="007638AE"/>
    <w:rsid w:val="00786B64"/>
    <w:rsid w:val="00805539"/>
    <w:rsid w:val="00814416"/>
    <w:rsid w:val="00817222"/>
    <w:rsid w:val="00827F66"/>
    <w:rsid w:val="0085687A"/>
    <w:rsid w:val="008E3F47"/>
    <w:rsid w:val="009236FB"/>
    <w:rsid w:val="0093468B"/>
    <w:rsid w:val="009412E8"/>
    <w:rsid w:val="00944FB3"/>
    <w:rsid w:val="00946837"/>
    <w:rsid w:val="0097564D"/>
    <w:rsid w:val="009763D9"/>
    <w:rsid w:val="009813F9"/>
    <w:rsid w:val="009A68A9"/>
    <w:rsid w:val="009C2F4F"/>
    <w:rsid w:val="009D0879"/>
    <w:rsid w:val="009F2962"/>
    <w:rsid w:val="00A75BC3"/>
    <w:rsid w:val="00AD3A18"/>
    <w:rsid w:val="00AF5BC1"/>
    <w:rsid w:val="00B13773"/>
    <w:rsid w:val="00B27E99"/>
    <w:rsid w:val="00B642F6"/>
    <w:rsid w:val="00B91C2C"/>
    <w:rsid w:val="00BB18D7"/>
    <w:rsid w:val="00BD319D"/>
    <w:rsid w:val="00C0610E"/>
    <w:rsid w:val="00C1326B"/>
    <w:rsid w:val="00C343EB"/>
    <w:rsid w:val="00C344A0"/>
    <w:rsid w:val="00C4530D"/>
    <w:rsid w:val="00C64CB5"/>
    <w:rsid w:val="00C87BCB"/>
    <w:rsid w:val="00CE3D89"/>
    <w:rsid w:val="00CE7EB6"/>
    <w:rsid w:val="00D16775"/>
    <w:rsid w:val="00D31754"/>
    <w:rsid w:val="00D31BED"/>
    <w:rsid w:val="00D4193E"/>
    <w:rsid w:val="00D47E1F"/>
    <w:rsid w:val="00D61E4E"/>
    <w:rsid w:val="00D671D2"/>
    <w:rsid w:val="00D72158"/>
    <w:rsid w:val="00D75AA2"/>
    <w:rsid w:val="00D75B87"/>
    <w:rsid w:val="00D85A09"/>
    <w:rsid w:val="00DD6E29"/>
    <w:rsid w:val="00DE4F62"/>
    <w:rsid w:val="00DE7A63"/>
    <w:rsid w:val="00E040DB"/>
    <w:rsid w:val="00E24285"/>
    <w:rsid w:val="00EA508D"/>
    <w:rsid w:val="00EA5589"/>
    <w:rsid w:val="00EB335F"/>
    <w:rsid w:val="00EC401D"/>
    <w:rsid w:val="00EF4AAB"/>
    <w:rsid w:val="00F01843"/>
    <w:rsid w:val="00F10707"/>
    <w:rsid w:val="00F34CF0"/>
    <w:rsid w:val="00F36C4A"/>
    <w:rsid w:val="00F36ECE"/>
    <w:rsid w:val="00F41A3A"/>
    <w:rsid w:val="00F62310"/>
    <w:rsid w:val="00F85E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sha" w:eastAsiaTheme="minorHAnsi" w:hAnsi="Gisha" w:cs="Gisha"/>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BC3"/>
    <w:rPr>
      <w:color w:val="0000FF" w:themeColor="hyperlink"/>
      <w:u w:val="single"/>
    </w:rPr>
  </w:style>
  <w:style w:type="paragraph" w:styleId="Header">
    <w:name w:val="header"/>
    <w:basedOn w:val="Normal"/>
    <w:link w:val="HeaderChar"/>
    <w:uiPriority w:val="99"/>
    <w:semiHidden/>
    <w:unhideWhenUsed/>
    <w:rsid w:val="009763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63D9"/>
    <w:rPr>
      <w:lang w:val="en-US"/>
    </w:rPr>
  </w:style>
  <w:style w:type="paragraph" w:styleId="Footer">
    <w:name w:val="footer"/>
    <w:basedOn w:val="Normal"/>
    <w:link w:val="FooterChar"/>
    <w:uiPriority w:val="99"/>
    <w:unhideWhenUsed/>
    <w:rsid w:val="0097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D9"/>
    <w:rPr>
      <w:lang w:val="en-US"/>
    </w:rPr>
  </w:style>
  <w:style w:type="character" w:styleId="CommentReference">
    <w:name w:val="annotation reference"/>
    <w:basedOn w:val="DefaultParagraphFont"/>
    <w:uiPriority w:val="99"/>
    <w:semiHidden/>
    <w:unhideWhenUsed/>
    <w:rsid w:val="003908E1"/>
    <w:rPr>
      <w:sz w:val="16"/>
      <w:szCs w:val="16"/>
    </w:rPr>
  </w:style>
  <w:style w:type="paragraph" w:styleId="CommentText">
    <w:name w:val="annotation text"/>
    <w:basedOn w:val="Normal"/>
    <w:link w:val="CommentTextChar"/>
    <w:uiPriority w:val="99"/>
    <w:semiHidden/>
    <w:unhideWhenUsed/>
    <w:rsid w:val="003908E1"/>
    <w:pPr>
      <w:spacing w:line="240" w:lineRule="auto"/>
    </w:pPr>
    <w:rPr>
      <w:sz w:val="20"/>
      <w:szCs w:val="20"/>
    </w:rPr>
  </w:style>
  <w:style w:type="character" w:customStyle="1" w:styleId="CommentTextChar">
    <w:name w:val="Comment Text Char"/>
    <w:basedOn w:val="DefaultParagraphFont"/>
    <w:link w:val="CommentText"/>
    <w:uiPriority w:val="99"/>
    <w:semiHidden/>
    <w:rsid w:val="003908E1"/>
    <w:rPr>
      <w:sz w:val="20"/>
      <w:szCs w:val="20"/>
      <w:lang w:val="en-US"/>
    </w:rPr>
  </w:style>
  <w:style w:type="paragraph" w:styleId="CommentSubject">
    <w:name w:val="annotation subject"/>
    <w:basedOn w:val="CommentText"/>
    <w:next w:val="CommentText"/>
    <w:link w:val="CommentSubjectChar"/>
    <w:uiPriority w:val="99"/>
    <w:semiHidden/>
    <w:unhideWhenUsed/>
    <w:rsid w:val="003908E1"/>
    <w:rPr>
      <w:b/>
      <w:bCs/>
    </w:rPr>
  </w:style>
  <w:style w:type="character" w:customStyle="1" w:styleId="CommentSubjectChar">
    <w:name w:val="Comment Subject Char"/>
    <w:basedOn w:val="CommentTextChar"/>
    <w:link w:val="CommentSubject"/>
    <w:uiPriority w:val="99"/>
    <w:semiHidden/>
    <w:rsid w:val="003908E1"/>
    <w:rPr>
      <w:b/>
      <w:bCs/>
      <w:sz w:val="20"/>
      <w:szCs w:val="20"/>
      <w:lang w:val="en-US"/>
    </w:rPr>
  </w:style>
  <w:style w:type="paragraph" w:styleId="BalloonText">
    <w:name w:val="Balloon Text"/>
    <w:basedOn w:val="Normal"/>
    <w:link w:val="BalloonTextChar"/>
    <w:uiPriority w:val="99"/>
    <w:semiHidden/>
    <w:unhideWhenUsed/>
    <w:rsid w:val="0039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E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sha" w:eastAsiaTheme="minorHAnsi" w:hAnsi="Gisha" w:cs="Gisha"/>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BC3"/>
    <w:rPr>
      <w:color w:val="0000FF" w:themeColor="hyperlink"/>
      <w:u w:val="single"/>
    </w:rPr>
  </w:style>
  <w:style w:type="paragraph" w:styleId="Header">
    <w:name w:val="header"/>
    <w:basedOn w:val="Normal"/>
    <w:link w:val="HeaderChar"/>
    <w:uiPriority w:val="99"/>
    <w:semiHidden/>
    <w:unhideWhenUsed/>
    <w:rsid w:val="009763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63D9"/>
    <w:rPr>
      <w:lang w:val="en-US"/>
    </w:rPr>
  </w:style>
  <w:style w:type="paragraph" w:styleId="Footer">
    <w:name w:val="footer"/>
    <w:basedOn w:val="Normal"/>
    <w:link w:val="FooterChar"/>
    <w:uiPriority w:val="99"/>
    <w:unhideWhenUsed/>
    <w:rsid w:val="0097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D9"/>
    <w:rPr>
      <w:lang w:val="en-US"/>
    </w:rPr>
  </w:style>
  <w:style w:type="character" w:styleId="CommentReference">
    <w:name w:val="annotation reference"/>
    <w:basedOn w:val="DefaultParagraphFont"/>
    <w:uiPriority w:val="99"/>
    <w:semiHidden/>
    <w:unhideWhenUsed/>
    <w:rsid w:val="003908E1"/>
    <w:rPr>
      <w:sz w:val="16"/>
      <w:szCs w:val="16"/>
    </w:rPr>
  </w:style>
  <w:style w:type="paragraph" w:styleId="CommentText">
    <w:name w:val="annotation text"/>
    <w:basedOn w:val="Normal"/>
    <w:link w:val="CommentTextChar"/>
    <w:uiPriority w:val="99"/>
    <w:semiHidden/>
    <w:unhideWhenUsed/>
    <w:rsid w:val="003908E1"/>
    <w:pPr>
      <w:spacing w:line="240" w:lineRule="auto"/>
    </w:pPr>
    <w:rPr>
      <w:sz w:val="20"/>
      <w:szCs w:val="20"/>
    </w:rPr>
  </w:style>
  <w:style w:type="character" w:customStyle="1" w:styleId="CommentTextChar">
    <w:name w:val="Comment Text Char"/>
    <w:basedOn w:val="DefaultParagraphFont"/>
    <w:link w:val="CommentText"/>
    <w:uiPriority w:val="99"/>
    <w:semiHidden/>
    <w:rsid w:val="003908E1"/>
    <w:rPr>
      <w:sz w:val="20"/>
      <w:szCs w:val="20"/>
      <w:lang w:val="en-US"/>
    </w:rPr>
  </w:style>
  <w:style w:type="paragraph" w:styleId="CommentSubject">
    <w:name w:val="annotation subject"/>
    <w:basedOn w:val="CommentText"/>
    <w:next w:val="CommentText"/>
    <w:link w:val="CommentSubjectChar"/>
    <w:uiPriority w:val="99"/>
    <w:semiHidden/>
    <w:unhideWhenUsed/>
    <w:rsid w:val="003908E1"/>
    <w:rPr>
      <w:b/>
      <w:bCs/>
    </w:rPr>
  </w:style>
  <w:style w:type="character" w:customStyle="1" w:styleId="CommentSubjectChar">
    <w:name w:val="Comment Subject Char"/>
    <w:basedOn w:val="CommentTextChar"/>
    <w:link w:val="CommentSubject"/>
    <w:uiPriority w:val="99"/>
    <w:semiHidden/>
    <w:rsid w:val="003908E1"/>
    <w:rPr>
      <w:b/>
      <w:bCs/>
      <w:sz w:val="20"/>
      <w:szCs w:val="20"/>
      <w:lang w:val="en-US"/>
    </w:rPr>
  </w:style>
  <w:style w:type="paragraph" w:styleId="BalloonText">
    <w:name w:val="Balloon Text"/>
    <w:basedOn w:val="Normal"/>
    <w:link w:val="BalloonTextChar"/>
    <w:uiPriority w:val="99"/>
    <w:semiHidden/>
    <w:unhideWhenUsed/>
    <w:rsid w:val="0039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E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06554879">
      <w:bodyDiv w:val="1"/>
      <w:marLeft w:val="0"/>
      <w:marRight w:val="0"/>
      <w:marTop w:val="0"/>
      <w:marBottom w:val="0"/>
      <w:divBdr>
        <w:top w:val="none" w:sz="0" w:space="0" w:color="auto"/>
        <w:left w:val="none" w:sz="0" w:space="0" w:color="auto"/>
        <w:bottom w:val="none" w:sz="0" w:space="0" w:color="auto"/>
        <w:right w:val="none" w:sz="0" w:space="0" w:color="auto"/>
      </w:divBdr>
      <w:divsChild>
        <w:div w:id="1529952107">
          <w:marLeft w:val="547"/>
          <w:marRight w:val="0"/>
          <w:marTop w:val="115"/>
          <w:marBottom w:val="0"/>
          <w:divBdr>
            <w:top w:val="none" w:sz="0" w:space="0" w:color="auto"/>
            <w:left w:val="none" w:sz="0" w:space="0" w:color="auto"/>
            <w:bottom w:val="none" w:sz="0" w:space="0" w:color="auto"/>
            <w:right w:val="none" w:sz="0" w:space="0" w:color="auto"/>
          </w:divBdr>
        </w:div>
      </w:divsChild>
    </w:div>
    <w:div w:id="722600015">
      <w:bodyDiv w:val="1"/>
      <w:marLeft w:val="0"/>
      <w:marRight w:val="0"/>
      <w:marTop w:val="0"/>
      <w:marBottom w:val="0"/>
      <w:divBdr>
        <w:top w:val="none" w:sz="0" w:space="0" w:color="auto"/>
        <w:left w:val="none" w:sz="0" w:space="0" w:color="auto"/>
        <w:bottom w:val="none" w:sz="0" w:space="0" w:color="auto"/>
        <w:right w:val="none" w:sz="0" w:space="0" w:color="auto"/>
      </w:divBdr>
      <w:divsChild>
        <w:div w:id="438335611">
          <w:marLeft w:val="547"/>
          <w:marRight w:val="0"/>
          <w:marTop w:val="115"/>
          <w:marBottom w:val="0"/>
          <w:divBdr>
            <w:top w:val="none" w:sz="0" w:space="0" w:color="auto"/>
            <w:left w:val="none" w:sz="0" w:space="0" w:color="auto"/>
            <w:bottom w:val="none" w:sz="0" w:space="0" w:color="auto"/>
            <w:right w:val="none" w:sz="0" w:space="0" w:color="auto"/>
          </w:divBdr>
        </w:div>
      </w:divsChild>
    </w:div>
    <w:div w:id="1620867584">
      <w:bodyDiv w:val="1"/>
      <w:marLeft w:val="0"/>
      <w:marRight w:val="0"/>
      <w:marTop w:val="0"/>
      <w:marBottom w:val="0"/>
      <w:divBdr>
        <w:top w:val="none" w:sz="0" w:space="0" w:color="auto"/>
        <w:left w:val="none" w:sz="0" w:space="0" w:color="auto"/>
        <w:bottom w:val="none" w:sz="0" w:space="0" w:color="auto"/>
        <w:right w:val="none" w:sz="0" w:space="0" w:color="auto"/>
      </w:divBdr>
      <w:divsChild>
        <w:div w:id="161201200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fot.org/aboutus/aboutoccupationaltherapy/definitionofoccupationaltherapy.aspx" TargetMode="External"/><Relationship Id="rId3" Type="http://schemas.openxmlformats.org/officeDocument/2006/relationships/settings" Target="settings.xml"/><Relationship Id="rId7" Type="http://schemas.openxmlformats.org/officeDocument/2006/relationships/hyperlink" Target="http://www.un.org/Overview/rights.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6943</Words>
  <Characters>39576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46427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2015-03-30T14:32:00Z</dcterms:created>
  <dcterms:modified xsi:type="dcterms:W3CDTF">2015-03-30T14:32:00Z</dcterms:modified>
</cp:coreProperties>
</file>